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60B" w:rsidRPr="009F11E8" w:rsidRDefault="001A35F8" w:rsidP="00F4060B">
      <w:pPr>
        <w:spacing w:before="240"/>
        <w:rPr>
          <w:rFonts w:ascii="PT Serif" w:hAnsi="PT Serif"/>
          <w:sz w:val="32"/>
          <w:szCs w:val="32"/>
        </w:rPr>
      </w:pPr>
      <w:sdt>
        <w:sdtPr>
          <w:rPr>
            <w:rFonts w:ascii="PT Serif" w:hAnsi="PT Serif"/>
            <w:smallCaps/>
            <w:color w:val="19556A"/>
            <w:sz w:val="40"/>
            <w:szCs w:val="40"/>
          </w:rPr>
          <w:alias w:val="Title"/>
          <w:id w:val="598529223"/>
          <w:placeholder>
            <w:docPart w:val="AB0EE4A6453A41C493439DF336D9F5A3"/>
          </w:placeholder>
          <w:dataBinding w:prefixMappings="xmlns:ns0='http://schemas.openxmlformats.org/package/2006/metadata/core-properties' xmlns:ns1='http://purl.org/dc/elements/1.1/'" w:xpath="/ns0:coreProperties[1]/ns1:title[1]" w:storeItemID="{6C3C8BC8-F283-45AE-878A-BAB7291924A1}"/>
          <w:text/>
        </w:sdtPr>
        <w:sdtEndPr/>
        <w:sdtContent>
          <w:r w:rsidR="00E72213">
            <w:rPr>
              <w:rFonts w:ascii="PT Serif" w:hAnsi="PT Serif"/>
              <w:smallCaps/>
              <w:color w:val="19556A"/>
              <w:sz w:val="40"/>
              <w:szCs w:val="40"/>
            </w:rPr>
            <w:t>Just a [TIKR]: The Shortfalls of ETF Investing</w:t>
          </w:r>
        </w:sdtContent>
      </w:sdt>
    </w:p>
    <w:p w:rsidR="0057179C" w:rsidRDefault="00F4060B" w:rsidP="00366A78">
      <w:pPr>
        <w:pStyle w:val="Heading2"/>
        <w:spacing w:line="288" w:lineRule="atLeast"/>
        <w:rPr>
          <w:rFonts w:ascii="PT Serif" w:hAnsi="PT Serif"/>
          <w:i/>
          <w:color w:val="19556A"/>
          <w:szCs w:val="28"/>
        </w:rPr>
      </w:pPr>
      <w:r w:rsidRPr="00E522F3">
        <w:rPr>
          <w:rFonts w:ascii="PT Serif" w:hAnsi="PT Serif"/>
          <w:i/>
          <w:color w:val="19556A"/>
          <w:szCs w:val="28"/>
        </w:rPr>
        <w:t xml:space="preserve">By: </w:t>
      </w:r>
      <w:r w:rsidR="005103D6">
        <w:rPr>
          <w:rFonts w:ascii="PT Serif" w:hAnsi="PT Serif"/>
          <w:i/>
          <w:color w:val="19556A"/>
          <w:szCs w:val="28"/>
        </w:rPr>
        <w:t>Adam Sabban</w:t>
      </w:r>
    </w:p>
    <w:p w:rsidR="00B25180" w:rsidRDefault="00B25180" w:rsidP="008C4868">
      <w:pPr>
        <w:spacing w:after="120"/>
        <w:jc w:val="both"/>
      </w:pPr>
    </w:p>
    <w:p w:rsidR="0057179C" w:rsidRPr="00FD2A7C" w:rsidRDefault="00B25180" w:rsidP="00654357">
      <w:pPr>
        <w:jc w:val="both"/>
        <w:rPr>
          <w:rFonts w:ascii="PT Serif" w:hAnsi="PT Serif"/>
          <w:b/>
        </w:rPr>
      </w:pPr>
      <w:r w:rsidRPr="00FD2A7C">
        <w:rPr>
          <w:rFonts w:ascii="PT Serif" w:hAnsi="PT Serif"/>
          <w:b/>
        </w:rPr>
        <w:t xml:space="preserve">Despite gaining widespread popularity, </w:t>
      </w:r>
      <w:r w:rsidR="00125537" w:rsidRPr="00FD2A7C">
        <w:rPr>
          <w:rFonts w:ascii="PT Serif" w:hAnsi="PT Serif"/>
          <w:b/>
        </w:rPr>
        <w:t>Exchange-Traded Funds (ETFs)</w:t>
      </w:r>
      <w:r w:rsidR="00BC013B">
        <w:rPr>
          <w:rFonts w:ascii="PT Serif" w:hAnsi="PT Serif"/>
          <w:b/>
        </w:rPr>
        <w:t xml:space="preserve"> are not an all-encompassing solution</w:t>
      </w:r>
      <w:r w:rsidR="002C22D7">
        <w:rPr>
          <w:rFonts w:ascii="PT Serif" w:hAnsi="PT Serif"/>
          <w:b/>
        </w:rPr>
        <w:t xml:space="preserve">; they are just another </w:t>
      </w:r>
      <w:r w:rsidR="00035AAF">
        <w:rPr>
          <w:rFonts w:ascii="PT Serif" w:hAnsi="PT Serif"/>
          <w:b/>
        </w:rPr>
        <w:t>“</w:t>
      </w:r>
      <w:r w:rsidR="002C22D7">
        <w:rPr>
          <w:rFonts w:ascii="PT Serif" w:hAnsi="PT Serif"/>
          <w:b/>
        </w:rPr>
        <w:t>tool in the toolbox</w:t>
      </w:r>
      <w:r w:rsidR="00B65778" w:rsidRPr="00FD2A7C">
        <w:rPr>
          <w:rFonts w:ascii="PT Serif" w:hAnsi="PT Serif"/>
          <w:b/>
        </w:rPr>
        <w:t>.</w:t>
      </w:r>
      <w:r w:rsidR="00035AAF">
        <w:rPr>
          <w:rFonts w:ascii="PT Serif" w:hAnsi="PT Serif"/>
          <w:b/>
        </w:rPr>
        <w:t>”</w:t>
      </w:r>
      <w:r w:rsidR="00B65778" w:rsidRPr="00FD2A7C">
        <w:rPr>
          <w:rFonts w:ascii="PT Serif" w:hAnsi="PT Serif"/>
          <w:b/>
        </w:rPr>
        <w:t xml:space="preserve"> For th</w:t>
      </w:r>
      <w:r w:rsidR="00FD2A7C" w:rsidRPr="00FD2A7C">
        <w:rPr>
          <w:rFonts w:ascii="PT Serif" w:hAnsi="PT Serif"/>
          <w:b/>
        </w:rPr>
        <w:t xml:space="preserve">e do-it-yourself investor, ETF investing has </w:t>
      </w:r>
      <w:r w:rsidR="00B65778" w:rsidRPr="00FD2A7C">
        <w:rPr>
          <w:rFonts w:ascii="PT Serif" w:hAnsi="PT Serif"/>
          <w:b/>
        </w:rPr>
        <w:t xml:space="preserve">a variety of </w:t>
      </w:r>
      <w:r w:rsidR="00FF1956">
        <w:rPr>
          <w:rFonts w:ascii="PT Serif" w:hAnsi="PT Serif"/>
          <w:b/>
        </w:rPr>
        <w:t>shortcomings</w:t>
      </w:r>
      <w:r w:rsidR="0058426E" w:rsidRPr="00FD2A7C">
        <w:rPr>
          <w:rFonts w:ascii="PT Serif" w:hAnsi="PT Serif"/>
          <w:b/>
        </w:rPr>
        <w:t xml:space="preserve"> and </w:t>
      </w:r>
      <w:r w:rsidR="00125537" w:rsidRPr="00FD2A7C">
        <w:rPr>
          <w:rFonts w:ascii="PT Serif" w:hAnsi="PT Serif"/>
          <w:b/>
        </w:rPr>
        <w:t>present</w:t>
      </w:r>
      <w:r w:rsidR="00FD2A7C" w:rsidRPr="00FD2A7C">
        <w:rPr>
          <w:rFonts w:ascii="PT Serif" w:hAnsi="PT Serif"/>
          <w:b/>
        </w:rPr>
        <w:t>s</w:t>
      </w:r>
      <w:r w:rsidR="00125537" w:rsidRPr="00FD2A7C">
        <w:rPr>
          <w:rFonts w:ascii="PT Serif" w:hAnsi="PT Serif"/>
          <w:b/>
        </w:rPr>
        <w:t xml:space="preserve"> </w:t>
      </w:r>
      <w:r w:rsidR="00B65778" w:rsidRPr="00FD2A7C">
        <w:rPr>
          <w:rFonts w:ascii="PT Serif" w:hAnsi="PT Serif"/>
          <w:b/>
        </w:rPr>
        <w:t>unique challenges:</w:t>
      </w:r>
    </w:p>
    <w:p w:rsidR="0057179C" w:rsidRPr="00077578" w:rsidRDefault="0057179C" w:rsidP="0057179C">
      <w:pPr>
        <w:pStyle w:val="ListParagraph"/>
        <w:numPr>
          <w:ilvl w:val="0"/>
          <w:numId w:val="2"/>
        </w:numPr>
        <w:jc w:val="both"/>
        <w:rPr>
          <w:rFonts w:ascii="PT Serif" w:hAnsi="PT Serif"/>
          <w:sz w:val="22"/>
        </w:rPr>
      </w:pPr>
      <w:r w:rsidRPr="00077578">
        <w:rPr>
          <w:rFonts w:ascii="PT Serif" w:hAnsi="PT Serif"/>
          <w:sz w:val="22"/>
        </w:rPr>
        <w:t>ETFs cannot help an investor determine the proper asset allocation</w:t>
      </w:r>
    </w:p>
    <w:p w:rsidR="0057179C" w:rsidRPr="00077578" w:rsidRDefault="0057179C" w:rsidP="0057179C">
      <w:pPr>
        <w:pStyle w:val="ListParagraph"/>
        <w:numPr>
          <w:ilvl w:val="0"/>
          <w:numId w:val="2"/>
        </w:numPr>
        <w:jc w:val="both"/>
        <w:rPr>
          <w:rFonts w:ascii="PT Serif" w:hAnsi="PT Serif"/>
          <w:sz w:val="22"/>
        </w:rPr>
      </w:pPr>
      <w:r w:rsidRPr="00077578">
        <w:rPr>
          <w:rFonts w:ascii="PT Serif" w:hAnsi="PT Serif"/>
          <w:sz w:val="22"/>
        </w:rPr>
        <w:t xml:space="preserve">The sheer size of the ETF universe </w:t>
      </w:r>
      <w:r w:rsidR="00EC00C7" w:rsidRPr="00077578">
        <w:rPr>
          <w:rFonts w:ascii="PT Serif" w:hAnsi="PT Serif"/>
          <w:sz w:val="22"/>
        </w:rPr>
        <w:t>adds complexity to the investment process</w:t>
      </w:r>
    </w:p>
    <w:p w:rsidR="0057179C" w:rsidRPr="00077578" w:rsidRDefault="00C34CDF" w:rsidP="0057179C">
      <w:pPr>
        <w:pStyle w:val="ListParagraph"/>
        <w:numPr>
          <w:ilvl w:val="0"/>
          <w:numId w:val="2"/>
        </w:numPr>
        <w:jc w:val="both"/>
        <w:rPr>
          <w:rFonts w:ascii="PT Serif" w:hAnsi="PT Serif"/>
          <w:sz w:val="22"/>
        </w:rPr>
      </w:pPr>
      <w:r>
        <w:rPr>
          <w:rFonts w:ascii="PT Serif" w:hAnsi="PT Serif"/>
          <w:sz w:val="22"/>
        </w:rPr>
        <w:t>ETFs are not all highly liquid: t</w:t>
      </w:r>
      <w:r w:rsidR="002F7B06">
        <w:rPr>
          <w:rFonts w:ascii="PT Serif" w:hAnsi="PT Serif"/>
          <w:sz w:val="22"/>
        </w:rPr>
        <w:t>rading small and</w:t>
      </w:r>
      <w:r w:rsidR="004F3464">
        <w:rPr>
          <w:rFonts w:ascii="PT Serif" w:hAnsi="PT Serif"/>
          <w:sz w:val="22"/>
        </w:rPr>
        <w:t xml:space="preserve"> midsize funds can be difficult</w:t>
      </w:r>
    </w:p>
    <w:p w:rsidR="00B65778" w:rsidRPr="00077578" w:rsidRDefault="00917CBF" w:rsidP="00B65778">
      <w:pPr>
        <w:pStyle w:val="ListParagraph"/>
        <w:numPr>
          <w:ilvl w:val="0"/>
          <w:numId w:val="2"/>
        </w:numPr>
        <w:jc w:val="both"/>
        <w:rPr>
          <w:rFonts w:ascii="PT Serif" w:hAnsi="PT Serif"/>
          <w:sz w:val="22"/>
        </w:rPr>
      </w:pPr>
      <w:r w:rsidRPr="00077578">
        <w:rPr>
          <w:rFonts w:ascii="PT Serif" w:hAnsi="PT Serif"/>
          <w:sz w:val="22"/>
        </w:rPr>
        <w:t>ETFs can have misleading names</w:t>
      </w:r>
      <w:r w:rsidR="00934D80">
        <w:rPr>
          <w:rFonts w:ascii="PT Serif" w:hAnsi="PT Serif"/>
          <w:sz w:val="22"/>
        </w:rPr>
        <w:t xml:space="preserve"> relative to their underlying holdings</w:t>
      </w:r>
    </w:p>
    <w:p w:rsidR="00526933" w:rsidRPr="00FD2A7C" w:rsidRDefault="00BA1AFA" w:rsidP="00526933">
      <w:pPr>
        <w:jc w:val="both"/>
        <w:rPr>
          <w:rFonts w:ascii="PT Serif" w:hAnsi="PT Serif"/>
          <w:b/>
        </w:rPr>
      </w:pPr>
      <w:r w:rsidRPr="00FD2A7C">
        <w:rPr>
          <w:rFonts w:ascii="PT Serif" w:hAnsi="PT Serif"/>
          <w:b/>
        </w:rPr>
        <w:t>A</w:t>
      </w:r>
      <w:r w:rsidR="00B36B76">
        <w:rPr>
          <w:rFonts w:ascii="PT Serif" w:hAnsi="PT Serif"/>
          <w:b/>
        </w:rPr>
        <w:t>n A</w:t>
      </w:r>
      <w:r w:rsidR="00526933" w:rsidRPr="00FD2A7C">
        <w:rPr>
          <w:rFonts w:ascii="PT Serif" w:hAnsi="PT Serif"/>
          <w:b/>
        </w:rPr>
        <w:t xml:space="preserve">dvisor </w:t>
      </w:r>
      <w:r w:rsidRPr="00FD2A7C">
        <w:rPr>
          <w:rFonts w:ascii="PT Serif" w:hAnsi="PT Serif"/>
          <w:b/>
        </w:rPr>
        <w:t>can</w:t>
      </w:r>
      <w:r w:rsidR="00995E63">
        <w:rPr>
          <w:rFonts w:ascii="PT Serif" w:hAnsi="PT Serif"/>
          <w:b/>
        </w:rPr>
        <w:t xml:space="preserve"> deliver great value and</w:t>
      </w:r>
      <w:r w:rsidRPr="00FD2A7C">
        <w:rPr>
          <w:rFonts w:ascii="PT Serif" w:hAnsi="PT Serif"/>
          <w:b/>
        </w:rPr>
        <w:t xml:space="preserve"> guide investors </w:t>
      </w:r>
      <w:r w:rsidR="00077578" w:rsidRPr="00FD2A7C">
        <w:rPr>
          <w:rFonts w:ascii="PT Serif" w:hAnsi="PT Serif"/>
          <w:b/>
        </w:rPr>
        <w:t>past</w:t>
      </w:r>
      <w:r w:rsidRPr="00FD2A7C">
        <w:rPr>
          <w:rFonts w:ascii="PT Serif" w:hAnsi="PT Serif"/>
          <w:b/>
        </w:rPr>
        <w:t xml:space="preserve"> these</w:t>
      </w:r>
      <w:r w:rsidR="00345DCC" w:rsidRPr="00FD2A7C">
        <w:rPr>
          <w:rFonts w:ascii="PT Serif" w:hAnsi="PT Serif"/>
          <w:b/>
        </w:rPr>
        <w:t xml:space="preserve"> </w:t>
      </w:r>
      <w:r w:rsidR="00FD2A7C">
        <w:rPr>
          <w:rFonts w:ascii="PT Serif" w:hAnsi="PT Serif"/>
          <w:b/>
        </w:rPr>
        <w:t>complications</w:t>
      </w:r>
      <w:r w:rsidR="00CA4379" w:rsidRPr="00FD2A7C">
        <w:rPr>
          <w:rFonts w:ascii="PT Serif" w:hAnsi="PT Serif"/>
          <w:b/>
        </w:rPr>
        <w:t xml:space="preserve">, </w:t>
      </w:r>
      <w:r w:rsidR="00603CAD">
        <w:rPr>
          <w:rFonts w:ascii="PT Serif" w:hAnsi="PT Serif"/>
          <w:b/>
        </w:rPr>
        <w:t>providing</w:t>
      </w:r>
      <w:r w:rsidR="00345DCC" w:rsidRPr="00FD2A7C">
        <w:rPr>
          <w:rFonts w:ascii="PT Serif" w:hAnsi="PT Serif"/>
          <w:b/>
        </w:rPr>
        <w:t xml:space="preserve"> comprehensive</w:t>
      </w:r>
      <w:r w:rsidR="00872BAF" w:rsidRPr="00FD2A7C">
        <w:rPr>
          <w:rFonts w:ascii="PT Serif" w:hAnsi="PT Serif"/>
          <w:b/>
        </w:rPr>
        <w:t xml:space="preserve"> </w:t>
      </w:r>
      <w:r w:rsidR="00D669A5">
        <w:rPr>
          <w:rFonts w:ascii="PT Serif" w:hAnsi="PT Serif"/>
          <w:b/>
        </w:rPr>
        <w:t>investment management</w:t>
      </w:r>
      <w:r w:rsidR="00872BAF" w:rsidRPr="00D669A5">
        <w:rPr>
          <w:rFonts w:ascii="PT Serif" w:hAnsi="PT Serif"/>
          <w:b/>
        </w:rPr>
        <w:t xml:space="preserve"> </w:t>
      </w:r>
      <w:r w:rsidR="00CA4379" w:rsidRPr="00FD2A7C">
        <w:rPr>
          <w:rFonts w:ascii="PT Serif" w:hAnsi="PT Serif"/>
          <w:b/>
        </w:rPr>
        <w:t>which incorporates</w:t>
      </w:r>
      <w:r w:rsidR="00345DCC" w:rsidRPr="00FD2A7C">
        <w:rPr>
          <w:rFonts w:ascii="PT Serif" w:hAnsi="PT Serif"/>
          <w:b/>
        </w:rPr>
        <w:t xml:space="preserve"> much more than just one “tool.”</w:t>
      </w:r>
      <w:r w:rsidR="00526933" w:rsidRPr="00FD2A7C">
        <w:rPr>
          <w:rFonts w:ascii="PT Serif" w:hAnsi="PT Serif"/>
          <w:b/>
        </w:rPr>
        <w:t xml:space="preserve"> </w:t>
      </w:r>
    </w:p>
    <w:p w:rsidR="00F4060B" w:rsidRPr="00E522F3" w:rsidRDefault="00D72DA6" w:rsidP="00F4060B">
      <w:pPr>
        <w:rPr>
          <w:rFonts w:ascii="PT Serif" w:hAnsi="PT Serif"/>
          <w:b/>
          <w:smallCaps/>
          <w:color w:val="19556A"/>
          <w:sz w:val="28"/>
          <w:szCs w:val="28"/>
          <w:u w:val="single"/>
        </w:rPr>
      </w:pPr>
      <w:r>
        <w:rPr>
          <w:rFonts w:ascii="PT Serif" w:hAnsi="PT Serif"/>
          <w:b/>
          <w:smallCaps/>
          <w:color w:val="19556A"/>
          <w:sz w:val="28"/>
          <w:szCs w:val="28"/>
          <w:u w:val="single"/>
        </w:rPr>
        <w:t>ETF</w:t>
      </w:r>
      <w:r w:rsidR="00B36B76">
        <w:rPr>
          <w:rFonts w:ascii="PT Serif" w:hAnsi="PT Serif"/>
          <w:b/>
          <w:smallCaps/>
          <w:color w:val="19556A"/>
          <w:sz w:val="28"/>
          <w:szCs w:val="28"/>
          <w:u w:val="single"/>
        </w:rPr>
        <w:t xml:space="preserve">s: A </w:t>
      </w:r>
      <w:r w:rsidR="007009EB">
        <w:rPr>
          <w:rFonts w:ascii="PT Serif" w:hAnsi="PT Serif"/>
          <w:b/>
          <w:smallCaps/>
          <w:color w:val="19556A"/>
          <w:sz w:val="28"/>
          <w:szCs w:val="28"/>
          <w:u w:val="single"/>
        </w:rPr>
        <w:t>Compass</w:t>
      </w:r>
      <w:r w:rsidR="00B36B76">
        <w:rPr>
          <w:rFonts w:ascii="PT Serif" w:hAnsi="PT Serif"/>
          <w:b/>
          <w:smallCaps/>
          <w:color w:val="19556A"/>
          <w:sz w:val="28"/>
          <w:szCs w:val="28"/>
          <w:u w:val="single"/>
        </w:rPr>
        <w:t xml:space="preserve"> Without a Map</w:t>
      </w:r>
    </w:p>
    <w:p w:rsidR="005C6D73" w:rsidRDefault="00D36159" w:rsidP="00E57EC2">
      <w:pPr>
        <w:jc w:val="both"/>
        <w:rPr>
          <w:rFonts w:ascii="PT Serif" w:hAnsi="PT Serif"/>
        </w:rPr>
      </w:pPr>
      <w:r>
        <w:rPr>
          <w:rFonts w:ascii="PT Serif" w:hAnsi="PT Serif"/>
        </w:rPr>
        <w:t xml:space="preserve">A </w:t>
      </w:r>
      <w:r w:rsidR="00B36B76">
        <w:rPr>
          <w:rFonts w:ascii="PT Serif" w:hAnsi="PT Serif"/>
        </w:rPr>
        <w:t>compass</w:t>
      </w:r>
      <w:r>
        <w:rPr>
          <w:rFonts w:ascii="PT Serif" w:hAnsi="PT Serif"/>
        </w:rPr>
        <w:t xml:space="preserve"> is </w:t>
      </w:r>
      <w:r w:rsidR="00B36B76">
        <w:rPr>
          <w:rFonts w:ascii="PT Serif" w:hAnsi="PT Serif"/>
        </w:rPr>
        <w:t>of little use if you don’t know</w:t>
      </w:r>
      <w:r w:rsidR="004F3464">
        <w:rPr>
          <w:rFonts w:ascii="PT Serif" w:hAnsi="PT Serif"/>
        </w:rPr>
        <w:t xml:space="preserve"> </w:t>
      </w:r>
      <w:r w:rsidR="00B36B76">
        <w:rPr>
          <w:rFonts w:ascii="PT Serif" w:hAnsi="PT Serif"/>
        </w:rPr>
        <w:t>where</w:t>
      </w:r>
      <w:r>
        <w:rPr>
          <w:rFonts w:ascii="PT Serif" w:hAnsi="PT Serif"/>
        </w:rPr>
        <w:t xml:space="preserve"> </w:t>
      </w:r>
      <w:r w:rsidR="005D7811">
        <w:rPr>
          <w:rFonts w:ascii="PT Serif" w:hAnsi="PT Serif"/>
        </w:rPr>
        <w:t xml:space="preserve">you </w:t>
      </w:r>
      <w:r w:rsidR="00A564F3">
        <w:rPr>
          <w:rFonts w:ascii="PT Serif" w:hAnsi="PT Serif"/>
        </w:rPr>
        <w:t>need</w:t>
      </w:r>
      <w:r w:rsidR="005D7811">
        <w:rPr>
          <w:rFonts w:ascii="PT Serif" w:hAnsi="PT Serif"/>
        </w:rPr>
        <w:t xml:space="preserve"> to go</w:t>
      </w:r>
      <w:r>
        <w:rPr>
          <w:rFonts w:ascii="PT Serif" w:hAnsi="PT Serif"/>
        </w:rPr>
        <w:t xml:space="preserve">. </w:t>
      </w:r>
      <w:r w:rsidR="00377F94">
        <w:rPr>
          <w:rFonts w:ascii="PT Serif" w:hAnsi="PT Serif"/>
        </w:rPr>
        <w:t xml:space="preserve">Investing is not very different: assets deployed without a proper plan are not nearly as impactful. When it comes to passive investing, ETFs have become everyone’s favorite </w:t>
      </w:r>
      <w:r w:rsidR="00B36B76">
        <w:rPr>
          <w:rFonts w:ascii="PT Serif" w:hAnsi="PT Serif"/>
        </w:rPr>
        <w:t>compass</w:t>
      </w:r>
      <w:r w:rsidR="005D7811">
        <w:rPr>
          <w:rFonts w:ascii="PT Serif" w:hAnsi="PT Serif"/>
        </w:rPr>
        <w:t xml:space="preserve">. They </w:t>
      </w:r>
      <w:r w:rsidR="00995E63">
        <w:rPr>
          <w:rFonts w:ascii="PT Serif" w:hAnsi="PT Serif"/>
        </w:rPr>
        <w:t>give a sense of direction</w:t>
      </w:r>
      <w:r w:rsidR="005D7811">
        <w:rPr>
          <w:rFonts w:ascii="PT Serif" w:hAnsi="PT Serif"/>
        </w:rPr>
        <w:t>,</w:t>
      </w:r>
      <w:r w:rsidR="00B36B76">
        <w:rPr>
          <w:rFonts w:ascii="PT Serif" w:hAnsi="PT Serif"/>
        </w:rPr>
        <w:t xml:space="preserve"> but </w:t>
      </w:r>
      <w:r w:rsidR="005D7811">
        <w:rPr>
          <w:rFonts w:ascii="PT Serif" w:hAnsi="PT Serif"/>
        </w:rPr>
        <w:t xml:space="preserve">don’t </w:t>
      </w:r>
      <w:r w:rsidR="00A564F3">
        <w:rPr>
          <w:rFonts w:ascii="PT Serif" w:hAnsi="PT Serif"/>
        </w:rPr>
        <w:t xml:space="preserve">reveal which </w:t>
      </w:r>
      <w:r w:rsidR="000023E6">
        <w:rPr>
          <w:rFonts w:ascii="PT Serif" w:hAnsi="PT Serif"/>
        </w:rPr>
        <w:t>path</w:t>
      </w:r>
      <w:r w:rsidR="00A564F3">
        <w:rPr>
          <w:rFonts w:ascii="PT Serif" w:hAnsi="PT Serif"/>
        </w:rPr>
        <w:t xml:space="preserve"> will get an investor to where he needs to be</w:t>
      </w:r>
      <w:r w:rsidR="00BB0CE3">
        <w:rPr>
          <w:rFonts w:ascii="PT Serif" w:hAnsi="PT Serif"/>
        </w:rPr>
        <w:t xml:space="preserve">. </w:t>
      </w:r>
      <w:r>
        <w:rPr>
          <w:rFonts w:ascii="PT Serif" w:hAnsi="PT Serif"/>
        </w:rPr>
        <w:t>While p</w:t>
      </w:r>
      <w:r w:rsidR="00EC32A2">
        <w:rPr>
          <w:rFonts w:ascii="PT Serif" w:hAnsi="PT Serif"/>
        </w:rPr>
        <w:t xml:space="preserve">roponents of ETFs </w:t>
      </w:r>
      <w:r w:rsidR="00313A12">
        <w:rPr>
          <w:rFonts w:ascii="PT Serif" w:hAnsi="PT Serif"/>
        </w:rPr>
        <w:t>rightly</w:t>
      </w:r>
      <w:r w:rsidR="00EC32A2">
        <w:rPr>
          <w:rFonts w:ascii="PT Serif" w:hAnsi="PT Serif"/>
        </w:rPr>
        <w:t xml:space="preserve"> cite the benefits of diversification </w:t>
      </w:r>
      <w:r>
        <w:rPr>
          <w:rFonts w:ascii="PT Serif" w:hAnsi="PT Serif"/>
        </w:rPr>
        <w:t>and</w:t>
      </w:r>
      <w:r w:rsidR="00313A12">
        <w:rPr>
          <w:rFonts w:ascii="PT Serif" w:hAnsi="PT Serif"/>
        </w:rPr>
        <w:t xml:space="preserve"> </w:t>
      </w:r>
      <w:r>
        <w:rPr>
          <w:rFonts w:ascii="PT Serif" w:hAnsi="PT Serif"/>
        </w:rPr>
        <w:t>intra-day liquidity</w:t>
      </w:r>
      <w:r w:rsidR="00EC32A2">
        <w:rPr>
          <w:rFonts w:ascii="PT Serif" w:hAnsi="PT Serif"/>
        </w:rPr>
        <w:t>, the focus on the</w:t>
      </w:r>
      <w:r w:rsidR="00DB12FB">
        <w:rPr>
          <w:rFonts w:ascii="PT Serif" w:hAnsi="PT Serif"/>
        </w:rPr>
        <w:t xml:space="preserve"> product itself seems to have overshadowed </w:t>
      </w:r>
      <w:r w:rsidR="00313A12">
        <w:rPr>
          <w:rFonts w:ascii="PT Serif" w:hAnsi="PT Serif"/>
        </w:rPr>
        <w:t>its</w:t>
      </w:r>
      <w:r w:rsidR="00DB12FB">
        <w:rPr>
          <w:rFonts w:ascii="PT Serif" w:hAnsi="PT Serif"/>
        </w:rPr>
        <w:t xml:space="preserve"> </w:t>
      </w:r>
      <w:r w:rsidR="00DB12FB" w:rsidRPr="00DB12FB">
        <w:rPr>
          <w:rFonts w:ascii="PT Serif" w:hAnsi="PT Serif"/>
          <w:i/>
        </w:rPr>
        <w:t>purpose</w:t>
      </w:r>
      <w:r w:rsidR="00DB12FB">
        <w:rPr>
          <w:rFonts w:ascii="PT Serif" w:hAnsi="PT Serif"/>
        </w:rPr>
        <w:t xml:space="preserve"> for investors, which is to provide exposure to an asset class as</w:t>
      </w:r>
      <w:r w:rsidR="00313A12">
        <w:rPr>
          <w:rFonts w:ascii="PT Serif" w:hAnsi="PT Serif"/>
        </w:rPr>
        <w:t xml:space="preserve"> part of a portfolio. Financial innovation has increased the number of </w:t>
      </w:r>
      <w:r w:rsidR="001C2088">
        <w:rPr>
          <w:rFonts w:ascii="PT Serif" w:hAnsi="PT Serif"/>
        </w:rPr>
        <w:t xml:space="preserve">investment </w:t>
      </w:r>
      <w:r w:rsidR="00B36B76">
        <w:rPr>
          <w:rFonts w:ascii="PT Serif" w:hAnsi="PT Serif"/>
        </w:rPr>
        <w:t>tools</w:t>
      </w:r>
      <w:r w:rsidR="00313A12">
        <w:rPr>
          <w:rFonts w:ascii="PT Serif" w:hAnsi="PT Serif"/>
        </w:rPr>
        <w:t xml:space="preserve"> available to investors over the years, </w:t>
      </w:r>
      <w:r w:rsidR="00DB12FB">
        <w:rPr>
          <w:rFonts w:ascii="PT Serif" w:hAnsi="PT Serif"/>
        </w:rPr>
        <w:t>but the element th</w:t>
      </w:r>
      <w:r w:rsidR="00B03249">
        <w:rPr>
          <w:rFonts w:ascii="PT Serif" w:hAnsi="PT Serif"/>
        </w:rPr>
        <w:t>at hasn’t changed</w:t>
      </w:r>
      <w:r w:rsidR="00313A12">
        <w:rPr>
          <w:rFonts w:ascii="PT Serif" w:hAnsi="PT Serif"/>
        </w:rPr>
        <w:t xml:space="preserve"> </w:t>
      </w:r>
      <w:r w:rsidR="00DB12FB">
        <w:rPr>
          <w:rFonts w:ascii="PT Serif" w:hAnsi="PT Serif"/>
        </w:rPr>
        <w:t xml:space="preserve">is the importance of </w:t>
      </w:r>
      <w:r w:rsidR="00DB12FB" w:rsidRPr="00BB0CE3">
        <w:rPr>
          <w:rFonts w:ascii="PT Serif" w:hAnsi="PT Serif"/>
          <w:b/>
        </w:rPr>
        <w:t>asset allocation</w:t>
      </w:r>
      <w:r w:rsidR="00A564F3">
        <w:rPr>
          <w:rFonts w:ascii="PT Serif" w:hAnsi="PT Serif"/>
          <w:b/>
        </w:rPr>
        <w:t xml:space="preserve"> </w:t>
      </w:r>
      <w:r w:rsidR="00A564F3" w:rsidRPr="00A564F3">
        <w:rPr>
          <w:rFonts w:ascii="PT Serif" w:hAnsi="PT Serif"/>
        </w:rPr>
        <w:t>in achieving planning objectives</w:t>
      </w:r>
      <w:r w:rsidR="00DB12FB">
        <w:rPr>
          <w:rFonts w:ascii="PT Serif" w:hAnsi="PT Serif"/>
        </w:rPr>
        <w:t>. The question</w:t>
      </w:r>
      <w:r w:rsidR="00D82015">
        <w:rPr>
          <w:rFonts w:ascii="PT Serif" w:hAnsi="PT Serif"/>
        </w:rPr>
        <w:t>s</w:t>
      </w:r>
      <w:r w:rsidR="00DB12FB">
        <w:rPr>
          <w:rFonts w:ascii="PT Serif" w:hAnsi="PT Serif"/>
        </w:rPr>
        <w:t xml:space="preserve"> of mutual fund vs. ETF, or even active vs. passive</w:t>
      </w:r>
      <w:r w:rsidR="005C6D73">
        <w:rPr>
          <w:rFonts w:ascii="PT Serif" w:hAnsi="PT Serif"/>
        </w:rPr>
        <w:t>,</w:t>
      </w:r>
      <w:r w:rsidR="00DB12FB">
        <w:rPr>
          <w:rFonts w:ascii="PT Serif" w:hAnsi="PT Serif"/>
        </w:rPr>
        <w:t xml:space="preserve"> are both completely secondary to the balance between equity and fixed income, for instance.</w:t>
      </w:r>
      <w:r w:rsidR="005C6D73">
        <w:rPr>
          <w:rFonts w:ascii="PT Serif" w:hAnsi="PT Serif"/>
        </w:rPr>
        <w:t xml:space="preserve"> </w:t>
      </w:r>
      <w:r w:rsidR="00077578">
        <w:rPr>
          <w:rFonts w:ascii="PT Serif" w:hAnsi="PT Serif"/>
        </w:rPr>
        <w:t xml:space="preserve">Asset allocation is unequivocally the most impactful determinant of returns, and an ETF won’t </w:t>
      </w:r>
      <w:r w:rsidR="00D80CA7">
        <w:rPr>
          <w:rFonts w:ascii="PT Serif" w:hAnsi="PT Serif"/>
        </w:rPr>
        <w:t>provide</w:t>
      </w:r>
      <w:r w:rsidR="00077578">
        <w:rPr>
          <w:rFonts w:ascii="PT Serif" w:hAnsi="PT Serif"/>
        </w:rPr>
        <w:t xml:space="preserve"> any answers there. </w:t>
      </w:r>
      <w:r w:rsidR="00B36B76">
        <w:rPr>
          <w:rFonts w:ascii="PT Serif" w:hAnsi="PT Serif"/>
        </w:rPr>
        <w:t>On the contrary, an A</w:t>
      </w:r>
      <w:r w:rsidR="00035AAF">
        <w:rPr>
          <w:rFonts w:ascii="PT Serif" w:hAnsi="PT Serif"/>
        </w:rPr>
        <w:t>dvisor adds tremendous value in this regard through</w:t>
      </w:r>
      <w:r w:rsidR="00F06478">
        <w:rPr>
          <w:rFonts w:ascii="PT Serif" w:hAnsi="PT Serif"/>
        </w:rPr>
        <w:t xml:space="preserve"> the careful development and monitoring of a portfolio as markets</w:t>
      </w:r>
      <w:r w:rsidR="00377F94">
        <w:rPr>
          <w:rFonts w:ascii="PT Serif" w:hAnsi="PT Serif"/>
        </w:rPr>
        <w:t xml:space="preserve">, regulations, and </w:t>
      </w:r>
      <w:r w:rsidR="00B824CA">
        <w:rPr>
          <w:rFonts w:ascii="PT Serif" w:hAnsi="PT Serif"/>
        </w:rPr>
        <w:t xml:space="preserve">an investor’s </w:t>
      </w:r>
      <w:r w:rsidR="00377F94">
        <w:rPr>
          <w:rFonts w:ascii="PT Serif" w:hAnsi="PT Serif"/>
        </w:rPr>
        <w:t>needs</w:t>
      </w:r>
      <w:r w:rsidR="00F06478">
        <w:rPr>
          <w:rFonts w:ascii="PT Serif" w:hAnsi="PT Serif"/>
        </w:rPr>
        <w:t xml:space="preserve"> evolve. </w:t>
      </w:r>
    </w:p>
    <w:p w:rsidR="009031C7" w:rsidRPr="009C03BB" w:rsidRDefault="00D4283E" w:rsidP="009C03BB">
      <w:pPr>
        <w:rPr>
          <w:rFonts w:ascii="PT Serif" w:hAnsi="PT Serif"/>
          <w:b/>
          <w:smallCaps/>
          <w:color w:val="19556A"/>
          <w:sz w:val="28"/>
          <w:szCs w:val="28"/>
          <w:u w:val="single"/>
        </w:rPr>
      </w:pPr>
      <w:r>
        <w:rPr>
          <w:rFonts w:ascii="PT Serif" w:hAnsi="PT Serif"/>
          <w:b/>
          <w:smallCaps/>
          <w:color w:val="19556A"/>
          <w:sz w:val="28"/>
          <w:szCs w:val="28"/>
          <w:u w:val="single"/>
        </w:rPr>
        <w:t xml:space="preserve">The Complications </w:t>
      </w:r>
      <w:r w:rsidR="0022299E">
        <w:rPr>
          <w:rFonts w:ascii="PT Serif" w:hAnsi="PT Serif"/>
          <w:b/>
          <w:smallCaps/>
          <w:color w:val="19556A"/>
          <w:sz w:val="28"/>
          <w:szCs w:val="28"/>
          <w:u w:val="single"/>
        </w:rPr>
        <w:t>Within</w:t>
      </w:r>
      <w:r>
        <w:rPr>
          <w:rFonts w:ascii="PT Serif" w:hAnsi="PT Serif"/>
          <w:b/>
          <w:smallCaps/>
          <w:color w:val="19556A"/>
          <w:sz w:val="28"/>
          <w:szCs w:val="28"/>
          <w:u w:val="single"/>
        </w:rPr>
        <w:t xml:space="preserve"> Today’s </w:t>
      </w:r>
      <w:r w:rsidR="0022299E">
        <w:rPr>
          <w:rFonts w:ascii="PT Serif" w:hAnsi="PT Serif"/>
          <w:b/>
          <w:smallCaps/>
          <w:color w:val="19556A"/>
          <w:sz w:val="28"/>
          <w:szCs w:val="28"/>
          <w:u w:val="single"/>
        </w:rPr>
        <w:t>ETF</w:t>
      </w:r>
      <w:r>
        <w:rPr>
          <w:rFonts w:ascii="PT Serif" w:hAnsi="PT Serif"/>
          <w:b/>
          <w:smallCaps/>
          <w:color w:val="19556A"/>
          <w:sz w:val="28"/>
          <w:szCs w:val="28"/>
          <w:u w:val="single"/>
        </w:rPr>
        <w:t xml:space="preserve"> Universe</w:t>
      </w:r>
      <w:r w:rsidR="0022299E">
        <w:rPr>
          <w:rFonts w:ascii="PT Serif" w:hAnsi="PT Serif"/>
          <w:b/>
          <w:smallCaps/>
          <w:color w:val="19556A"/>
          <w:sz w:val="28"/>
          <w:szCs w:val="28"/>
          <w:u w:val="single"/>
        </w:rPr>
        <w:t xml:space="preserve"> For Individual Investors</w:t>
      </w:r>
    </w:p>
    <w:p w:rsidR="008B5FC2" w:rsidRPr="008B5FC2" w:rsidRDefault="00957D57" w:rsidP="008B5FC2">
      <w:pPr>
        <w:spacing w:after="0"/>
        <w:rPr>
          <w:rFonts w:ascii="PT Serif" w:hAnsi="PT Serif"/>
          <w:smallCaps/>
          <w:color w:val="19556A"/>
          <w:sz w:val="24"/>
          <w:szCs w:val="24"/>
        </w:rPr>
      </w:pPr>
      <w:r>
        <w:rPr>
          <w:rFonts w:ascii="PT Serif" w:hAnsi="PT Serif"/>
          <w:smallCaps/>
          <w:color w:val="19556A"/>
          <w:sz w:val="24"/>
          <w:szCs w:val="24"/>
        </w:rPr>
        <w:t>Which One is the Right One?</w:t>
      </w:r>
    </w:p>
    <w:p w:rsidR="007C4AB6" w:rsidRPr="003F6A93" w:rsidRDefault="00E6398A" w:rsidP="00F726AD">
      <w:pPr>
        <w:spacing w:after="0"/>
        <w:jc w:val="both"/>
        <w:rPr>
          <w:rFonts w:ascii="PT Serif" w:hAnsi="PT Serif"/>
        </w:rPr>
      </w:pPr>
      <w:r>
        <w:rPr>
          <w:rFonts w:ascii="PT Serif" w:hAnsi="PT Serif"/>
        </w:rPr>
        <w:t xml:space="preserve">As ETFs have become ever more popular, new </w:t>
      </w:r>
      <w:r w:rsidR="002D3F88">
        <w:rPr>
          <w:rFonts w:ascii="PT Serif" w:hAnsi="PT Serif"/>
        </w:rPr>
        <w:t>fund sponsors</w:t>
      </w:r>
      <w:r>
        <w:rPr>
          <w:rFonts w:ascii="PT Serif" w:hAnsi="PT Serif"/>
        </w:rPr>
        <w:t xml:space="preserve"> have entered the market, while the top </w:t>
      </w:r>
      <w:r w:rsidR="00FF6B9D">
        <w:rPr>
          <w:rFonts w:ascii="PT Serif" w:hAnsi="PT Serif"/>
        </w:rPr>
        <w:t>providers</w:t>
      </w:r>
      <w:r>
        <w:rPr>
          <w:rFonts w:ascii="PT Serif" w:hAnsi="PT Serif"/>
        </w:rPr>
        <w:t xml:space="preserve"> have continued to expand their offerings.</w:t>
      </w:r>
      <w:r w:rsidR="00D80CA7">
        <w:rPr>
          <w:rFonts w:ascii="PT Serif" w:hAnsi="PT Serif"/>
        </w:rPr>
        <w:t xml:space="preserve"> </w:t>
      </w:r>
      <w:r w:rsidR="00D906B0">
        <w:rPr>
          <w:rFonts w:ascii="PT Serif" w:hAnsi="PT Serif"/>
        </w:rPr>
        <w:t>As of December 2016, t</w:t>
      </w:r>
      <w:r w:rsidR="00D80CA7">
        <w:rPr>
          <w:rFonts w:ascii="PT Serif" w:hAnsi="PT Serif"/>
        </w:rPr>
        <w:t xml:space="preserve">he U.S. ETF Universe has </w:t>
      </w:r>
      <w:r w:rsidR="00D80CA7">
        <w:rPr>
          <w:rFonts w:ascii="PT Serif" w:hAnsi="PT Serif"/>
        </w:rPr>
        <w:lastRenderedPageBreak/>
        <w:t xml:space="preserve">grown to over $2.5 trillion </w:t>
      </w:r>
      <w:r w:rsidR="00A71D11">
        <w:rPr>
          <w:rFonts w:ascii="PT Serif" w:hAnsi="PT Serif"/>
        </w:rPr>
        <w:t>in assets</w:t>
      </w:r>
      <w:r w:rsidR="00FD2A7C">
        <w:rPr>
          <w:rFonts w:ascii="PT Serif" w:hAnsi="PT Serif"/>
        </w:rPr>
        <w:t xml:space="preserve"> </w:t>
      </w:r>
      <w:r w:rsidR="00F26931">
        <w:rPr>
          <w:rFonts w:ascii="PT Serif" w:hAnsi="PT Serif"/>
        </w:rPr>
        <w:t>across</w:t>
      </w:r>
      <w:r w:rsidR="00D80CA7">
        <w:rPr>
          <w:rFonts w:ascii="PT Serif" w:hAnsi="PT Serif"/>
        </w:rPr>
        <w:t xml:space="preserve"> nearly 1</w:t>
      </w:r>
      <w:r w:rsidR="004C7220">
        <w:rPr>
          <w:rFonts w:ascii="PT Serif" w:hAnsi="PT Serif"/>
        </w:rPr>
        <w:t>,</w:t>
      </w:r>
      <w:r w:rsidR="00D80CA7">
        <w:rPr>
          <w:rFonts w:ascii="PT Serif" w:hAnsi="PT Serif"/>
        </w:rPr>
        <w:t>800 funds.</w:t>
      </w:r>
      <w:r w:rsidR="00D80CA7">
        <w:rPr>
          <w:rStyle w:val="FootnoteReference"/>
          <w:rFonts w:ascii="PT Serif" w:hAnsi="PT Serif"/>
        </w:rPr>
        <w:footnoteReference w:id="1"/>
      </w:r>
      <w:r>
        <w:rPr>
          <w:rFonts w:ascii="PT Serif" w:hAnsi="PT Serif"/>
        </w:rPr>
        <w:t xml:space="preserve"> </w:t>
      </w:r>
      <w:r w:rsidR="00D02830">
        <w:rPr>
          <w:rFonts w:ascii="PT Serif" w:hAnsi="PT Serif"/>
        </w:rPr>
        <w:t xml:space="preserve">Of the </w:t>
      </w:r>
      <w:r w:rsidR="00C50463">
        <w:rPr>
          <w:rFonts w:ascii="PT Serif" w:hAnsi="PT Serif"/>
        </w:rPr>
        <w:t xml:space="preserve">roughly </w:t>
      </w:r>
      <w:r w:rsidR="009C03BB">
        <w:rPr>
          <w:rFonts w:ascii="PT Serif" w:hAnsi="PT Serif"/>
        </w:rPr>
        <w:t>1</w:t>
      </w:r>
      <w:r w:rsidR="00D906B0">
        <w:rPr>
          <w:rFonts w:ascii="PT Serif" w:hAnsi="PT Serif"/>
        </w:rPr>
        <w:t>,</w:t>
      </w:r>
      <w:r w:rsidR="009C03BB">
        <w:rPr>
          <w:rFonts w:ascii="PT Serif" w:hAnsi="PT Serif"/>
        </w:rPr>
        <w:t>600</w:t>
      </w:r>
      <w:r w:rsidR="00D80CA7">
        <w:rPr>
          <w:rFonts w:ascii="PT Serif" w:hAnsi="PT Serif"/>
        </w:rPr>
        <w:t xml:space="preserve"> </w:t>
      </w:r>
      <w:r w:rsidR="009C03BB">
        <w:rPr>
          <w:rFonts w:ascii="PT Serif" w:hAnsi="PT Serif"/>
        </w:rPr>
        <w:t>passive</w:t>
      </w:r>
      <w:r w:rsidR="00D02830">
        <w:rPr>
          <w:rFonts w:ascii="PT Serif" w:hAnsi="PT Serif"/>
        </w:rPr>
        <w:t xml:space="preserve"> </w:t>
      </w:r>
      <w:r w:rsidR="00A71D11">
        <w:rPr>
          <w:rFonts w:ascii="PT Serif" w:hAnsi="PT Serif"/>
        </w:rPr>
        <w:t xml:space="preserve">U.S. </w:t>
      </w:r>
      <w:r w:rsidR="00D02830">
        <w:rPr>
          <w:rFonts w:ascii="PT Serif" w:hAnsi="PT Serif"/>
        </w:rPr>
        <w:t>E</w:t>
      </w:r>
      <w:r w:rsidR="00BF796B">
        <w:rPr>
          <w:rFonts w:ascii="PT Serif" w:hAnsi="PT Serif"/>
        </w:rPr>
        <w:t>TFs</w:t>
      </w:r>
      <w:r w:rsidR="00D02830">
        <w:rPr>
          <w:rFonts w:ascii="PT Serif" w:hAnsi="PT Serif"/>
        </w:rPr>
        <w:t xml:space="preserve">, </w:t>
      </w:r>
      <w:r w:rsidR="00BF796B">
        <w:rPr>
          <w:rFonts w:ascii="PT Serif" w:hAnsi="PT Serif"/>
        </w:rPr>
        <w:t>over 1</w:t>
      </w:r>
      <w:r w:rsidR="00D906B0">
        <w:rPr>
          <w:rFonts w:ascii="PT Serif" w:hAnsi="PT Serif"/>
        </w:rPr>
        <w:t>,</w:t>
      </w:r>
      <w:r w:rsidR="00BF796B">
        <w:rPr>
          <w:rFonts w:ascii="PT Serif" w:hAnsi="PT Serif"/>
        </w:rPr>
        <w:t>3</w:t>
      </w:r>
      <w:r w:rsidR="00736CAA">
        <w:rPr>
          <w:rFonts w:ascii="PT Serif" w:hAnsi="PT Serif"/>
        </w:rPr>
        <w:t>00 different benchmark indices</w:t>
      </w:r>
      <w:r w:rsidR="00516DEC">
        <w:rPr>
          <w:rFonts w:ascii="PT Serif" w:hAnsi="PT Serif"/>
        </w:rPr>
        <w:t xml:space="preserve"> are tracked!</w:t>
      </w:r>
      <w:r w:rsidR="00D80CA7" w:rsidRPr="00D80CA7">
        <w:rPr>
          <w:rStyle w:val="FootnoteReference"/>
          <w:rFonts w:ascii="PT Serif" w:hAnsi="PT Serif"/>
        </w:rPr>
        <w:t xml:space="preserve"> </w:t>
      </w:r>
      <w:r w:rsidR="00D80CA7">
        <w:rPr>
          <w:rStyle w:val="FootnoteReference"/>
          <w:rFonts w:ascii="PT Serif" w:hAnsi="PT Serif"/>
        </w:rPr>
        <w:footnoteReference w:id="2"/>
      </w:r>
      <w:r w:rsidR="00C07EF5">
        <w:rPr>
          <w:rFonts w:ascii="PT Serif" w:hAnsi="PT Serif"/>
        </w:rPr>
        <w:t xml:space="preserve"> </w:t>
      </w:r>
      <w:bookmarkStart w:id="0" w:name="_Hlk492456254"/>
      <w:r w:rsidR="003F6A93">
        <w:rPr>
          <w:rFonts w:ascii="PT Serif" w:hAnsi="PT Serif"/>
        </w:rPr>
        <w:t xml:space="preserve">Picking the right fund </w:t>
      </w:r>
      <w:r w:rsidR="00521029">
        <w:rPr>
          <w:rFonts w:ascii="PT Serif" w:hAnsi="PT Serif"/>
        </w:rPr>
        <w:t>is a</w:t>
      </w:r>
      <w:r w:rsidR="003F6A93">
        <w:rPr>
          <w:rFonts w:ascii="PT Serif" w:hAnsi="PT Serif"/>
        </w:rPr>
        <w:t xml:space="preserve"> </w:t>
      </w:r>
      <w:r w:rsidR="00521029">
        <w:rPr>
          <w:rFonts w:ascii="PT Serif" w:hAnsi="PT Serif"/>
        </w:rPr>
        <w:t>crucial</w:t>
      </w:r>
      <w:r w:rsidR="003F6A93">
        <w:rPr>
          <w:rFonts w:ascii="PT Serif" w:hAnsi="PT Serif"/>
        </w:rPr>
        <w:t xml:space="preserve"> task, as ETFs which seem alike on the surface may have meaningful differences in composition</w:t>
      </w:r>
      <w:r w:rsidR="00521029">
        <w:rPr>
          <w:rFonts w:ascii="PT Serif" w:hAnsi="PT Serif"/>
        </w:rPr>
        <w:t xml:space="preserve"> hidden beneath</w:t>
      </w:r>
      <w:r w:rsidR="003F6A93">
        <w:rPr>
          <w:rFonts w:ascii="PT Serif" w:hAnsi="PT Serif"/>
        </w:rPr>
        <w:t xml:space="preserve">. </w:t>
      </w:r>
      <w:bookmarkEnd w:id="0"/>
      <w:r w:rsidR="007C4AB6">
        <w:rPr>
          <w:rFonts w:ascii="PT Serif" w:hAnsi="PT Serif"/>
        </w:rPr>
        <w:t xml:space="preserve">Given the </w:t>
      </w:r>
      <w:r w:rsidR="00521029">
        <w:rPr>
          <w:rFonts w:ascii="PT Serif" w:hAnsi="PT Serif"/>
        </w:rPr>
        <w:t>number</w:t>
      </w:r>
      <w:r w:rsidR="007C4AB6">
        <w:rPr>
          <w:rFonts w:ascii="PT Serif" w:hAnsi="PT Serif"/>
        </w:rPr>
        <w:t xml:space="preserve"> and diversity of ETF offerings, the task for an investor trying to </w:t>
      </w:r>
      <w:r w:rsidR="00521029">
        <w:rPr>
          <w:rFonts w:ascii="PT Serif" w:hAnsi="PT Serif"/>
        </w:rPr>
        <w:t xml:space="preserve">construct a </w:t>
      </w:r>
      <w:r w:rsidR="004C7220">
        <w:rPr>
          <w:rFonts w:ascii="PT Serif" w:hAnsi="PT Serif"/>
        </w:rPr>
        <w:t xml:space="preserve">diversified </w:t>
      </w:r>
      <w:r w:rsidR="00521029">
        <w:rPr>
          <w:rFonts w:ascii="PT Serif" w:hAnsi="PT Serif"/>
        </w:rPr>
        <w:t xml:space="preserve">portfolio that will meet their goals can </w:t>
      </w:r>
      <w:r w:rsidR="007C4AB6">
        <w:rPr>
          <w:rFonts w:ascii="PT Serif" w:hAnsi="PT Serif"/>
        </w:rPr>
        <w:t xml:space="preserve">be rather daunting. However, </w:t>
      </w:r>
      <w:r w:rsidR="00B36B76">
        <w:rPr>
          <w:rFonts w:ascii="PT Serif" w:hAnsi="PT Serif"/>
        </w:rPr>
        <w:t>an A</w:t>
      </w:r>
      <w:r w:rsidR="007C4AB6" w:rsidRPr="00957D57">
        <w:rPr>
          <w:rFonts w:ascii="PT Serif" w:hAnsi="PT Serif"/>
        </w:rPr>
        <w:t xml:space="preserve">dvisor </w:t>
      </w:r>
      <w:r w:rsidR="00F611EC">
        <w:rPr>
          <w:rFonts w:ascii="PT Serif" w:hAnsi="PT Serif"/>
        </w:rPr>
        <w:t>has the</w:t>
      </w:r>
      <w:r w:rsidR="007C4AB6" w:rsidRPr="00957D57">
        <w:rPr>
          <w:rFonts w:ascii="PT Serif" w:hAnsi="PT Serif"/>
        </w:rPr>
        <w:t xml:space="preserve"> technical capabilities</w:t>
      </w:r>
      <w:r w:rsidR="00332683">
        <w:rPr>
          <w:rFonts w:ascii="PT Serif" w:hAnsi="PT Serif"/>
        </w:rPr>
        <w:t>, resources,</w:t>
      </w:r>
      <w:r w:rsidR="00F611EC">
        <w:rPr>
          <w:rFonts w:ascii="PT Serif" w:hAnsi="PT Serif"/>
        </w:rPr>
        <w:t xml:space="preserve"> and expertise</w:t>
      </w:r>
      <w:r w:rsidR="007C4AB6" w:rsidRPr="00957D57">
        <w:rPr>
          <w:rFonts w:ascii="PT Serif" w:hAnsi="PT Serif"/>
        </w:rPr>
        <w:t xml:space="preserve"> to </w:t>
      </w:r>
      <w:r w:rsidR="00F611EC">
        <w:rPr>
          <w:rFonts w:ascii="PT Serif" w:hAnsi="PT Serif"/>
        </w:rPr>
        <w:t>sift through the sea of choices to</w:t>
      </w:r>
      <w:r w:rsidR="007C4AB6" w:rsidRPr="00957D57">
        <w:rPr>
          <w:rFonts w:ascii="PT Serif" w:hAnsi="PT Serif"/>
        </w:rPr>
        <w:t xml:space="preserve"> identify the ideal investme</w:t>
      </w:r>
      <w:r w:rsidR="00F611EC">
        <w:rPr>
          <w:rFonts w:ascii="PT Serif" w:hAnsi="PT Serif"/>
        </w:rPr>
        <w:t>nts, whether active or passive.</w:t>
      </w:r>
      <w:r w:rsidR="00C07EF5">
        <w:rPr>
          <w:rFonts w:ascii="PT Serif" w:hAnsi="PT Serif"/>
        </w:rPr>
        <w:t xml:space="preserve">  </w:t>
      </w:r>
    </w:p>
    <w:p w:rsidR="007F3BAB" w:rsidRPr="007F3BAB" w:rsidRDefault="007F3BAB" w:rsidP="007F3BAB">
      <w:pPr>
        <w:spacing w:after="0"/>
        <w:rPr>
          <w:rFonts w:ascii="PT Serif" w:hAnsi="PT Serif"/>
          <w:smallCaps/>
          <w:color w:val="19556A"/>
          <w:sz w:val="24"/>
          <w:szCs w:val="24"/>
        </w:rPr>
      </w:pPr>
      <w:r>
        <w:rPr>
          <w:rFonts w:ascii="PT Serif" w:hAnsi="PT Serif"/>
          <w:smallCaps/>
          <w:color w:val="19556A"/>
          <w:sz w:val="24"/>
          <w:szCs w:val="24"/>
        </w:rPr>
        <w:t>Liquidity</w:t>
      </w:r>
    </w:p>
    <w:p w:rsidR="00004CAD" w:rsidRDefault="00BF796B" w:rsidP="003A332F">
      <w:pPr>
        <w:jc w:val="both"/>
        <w:rPr>
          <w:rFonts w:ascii="PT Serif" w:hAnsi="PT Serif"/>
        </w:rPr>
      </w:pPr>
      <w:r>
        <w:rPr>
          <w:rFonts w:ascii="PT Serif" w:hAnsi="PT Serif"/>
        </w:rPr>
        <w:t xml:space="preserve">Another aspect of ETF investing </w:t>
      </w:r>
      <w:r w:rsidR="00521029">
        <w:rPr>
          <w:rFonts w:ascii="PT Serif" w:hAnsi="PT Serif"/>
        </w:rPr>
        <w:t xml:space="preserve">that </w:t>
      </w:r>
      <w:r>
        <w:rPr>
          <w:rFonts w:ascii="PT Serif" w:hAnsi="PT Serif"/>
        </w:rPr>
        <w:t xml:space="preserve">individuals </w:t>
      </w:r>
      <w:r w:rsidR="007C4AB6">
        <w:rPr>
          <w:rFonts w:ascii="PT Serif" w:hAnsi="PT Serif"/>
        </w:rPr>
        <w:t>may find challenging</w:t>
      </w:r>
      <w:r w:rsidR="00521029">
        <w:rPr>
          <w:rFonts w:ascii="PT Serif" w:hAnsi="PT Serif"/>
        </w:rPr>
        <w:t xml:space="preserve"> or confusing</w:t>
      </w:r>
      <w:r w:rsidR="007C4AB6">
        <w:rPr>
          <w:rFonts w:ascii="PT Serif" w:hAnsi="PT Serif"/>
        </w:rPr>
        <w:t xml:space="preserve"> </w:t>
      </w:r>
      <w:r w:rsidR="00516DEC">
        <w:rPr>
          <w:rFonts w:ascii="PT Serif" w:hAnsi="PT Serif"/>
        </w:rPr>
        <w:t xml:space="preserve">at times </w:t>
      </w:r>
      <w:r>
        <w:rPr>
          <w:rFonts w:ascii="PT Serif" w:hAnsi="PT Serif"/>
        </w:rPr>
        <w:t>is</w:t>
      </w:r>
      <w:r w:rsidR="006F217F">
        <w:rPr>
          <w:rFonts w:ascii="PT Serif" w:hAnsi="PT Serif"/>
        </w:rPr>
        <w:t xml:space="preserve"> </w:t>
      </w:r>
      <w:r w:rsidR="007C4AB6">
        <w:rPr>
          <w:rFonts w:ascii="PT Serif" w:hAnsi="PT Serif"/>
        </w:rPr>
        <w:t>liquidity</w:t>
      </w:r>
      <w:r>
        <w:rPr>
          <w:rFonts w:ascii="PT Serif" w:hAnsi="PT Serif"/>
        </w:rPr>
        <w:t>.</w:t>
      </w:r>
      <w:r w:rsidR="00516DEC">
        <w:rPr>
          <w:rFonts w:ascii="PT Serif" w:hAnsi="PT Serif"/>
        </w:rPr>
        <w:t xml:space="preserve"> </w:t>
      </w:r>
      <w:r w:rsidR="002F19A1">
        <w:rPr>
          <w:rFonts w:ascii="PT Serif" w:hAnsi="PT Serif"/>
        </w:rPr>
        <w:t>ETFs have</w:t>
      </w:r>
      <w:r w:rsidR="00516DEC">
        <w:rPr>
          <w:rFonts w:ascii="PT Serif" w:hAnsi="PT Serif"/>
        </w:rPr>
        <w:t xml:space="preserve"> gained considerable notorie</w:t>
      </w:r>
      <w:r w:rsidR="002F7B06">
        <w:rPr>
          <w:rFonts w:ascii="PT Serif" w:hAnsi="PT Serif"/>
        </w:rPr>
        <w:t xml:space="preserve">ty as a highly-liquid asset, however that liquidity is mostly enjoyed by investors in the largest, most popular funds. </w:t>
      </w:r>
      <w:r>
        <w:rPr>
          <w:rFonts w:ascii="PT Serif" w:hAnsi="PT Serif"/>
        </w:rPr>
        <w:t>Smaller</w:t>
      </w:r>
      <w:r w:rsidR="001D03A5">
        <w:rPr>
          <w:rFonts w:ascii="PT Serif" w:hAnsi="PT Serif"/>
        </w:rPr>
        <w:t>,</w:t>
      </w:r>
      <w:r>
        <w:rPr>
          <w:rFonts w:ascii="PT Serif" w:hAnsi="PT Serif"/>
        </w:rPr>
        <w:t xml:space="preserve"> </w:t>
      </w:r>
      <w:r w:rsidR="00516DEC">
        <w:rPr>
          <w:rFonts w:ascii="PT Serif" w:hAnsi="PT Serif"/>
        </w:rPr>
        <w:t xml:space="preserve">more specialized </w:t>
      </w:r>
      <w:r w:rsidR="002F7B06">
        <w:rPr>
          <w:rFonts w:ascii="PT Serif" w:hAnsi="PT Serif"/>
        </w:rPr>
        <w:t>funds</w:t>
      </w:r>
      <w:r>
        <w:rPr>
          <w:rFonts w:ascii="PT Serif" w:hAnsi="PT Serif"/>
        </w:rPr>
        <w:t>,</w:t>
      </w:r>
      <w:r w:rsidR="00516DEC">
        <w:rPr>
          <w:rFonts w:ascii="PT Serif" w:hAnsi="PT Serif"/>
        </w:rPr>
        <w:t xml:space="preserve"> or those simply with fewer assets</w:t>
      </w:r>
      <w:r>
        <w:rPr>
          <w:rFonts w:ascii="PT Serif" w:hAnsi="PT Serif"/>
        </w:rPr>
        <w:t>,</w:t>
      </w:r>
      <w:r w:rsidR="00516DEC">
        <w:rPr>
          <w:rFonts w:ascii="PT Serif" w:hAnsi="PT Serif"/>
        </w:rPr>
        <w:t xml:space="preserve"> comprise </w:t>
      </w:r>
      <w:r w:rsidR="001D03A5">
        <w:rPr>
          <w:rFonts w:ascii="PT Serif" w:hAnsi="PT Serif"/>
        </w:rPr>
        <w:t>the majority of</w:t>
      </w:r>
      <w:r w:rsidR="007009EB">
        <w:rPr>
          <w:rFonts w:ascii="PT Serif" w:hAnsi="PT Serif"/>
        </w:rPr>
        <w:t xml:space="preserve"> </w:t>
      </w:r>
      <w:r w:rsidR="002F7B06">
        <w:rPr>
          <w:rFonts w:ascii="PT Serif" w:hAnsi="PT Serif"/>
        </w:rPr>
        <w:t>ETFs</w:t>
      </w:r>
      <w:r w:rsidR="001D03A5">
        <w:rPr>
          <w:rFonts w:ascii="PT Serif" w:hAnsi="PT Serif"/>
        </w:rPr>
        <w:t xml:space="preserve"> available</w:t>
      </w:r>
      <w:r w:rsidR="00516DEC">
        <w:rPr>
          <w:rFonts w:ascii="PT Serif" w:hAnsi="PT Serif"/>
        </w:rPr>
        <w:t xml:space="preserve"> and have drastically lower liquidity. </w:t>
      </w:r>
      <w:r w:rsidR="001204B6">
        <w:rPr>
          <w:rFonts w:ascii="PT Serif" w:hAnsi="PT Serif"/>
        </w:rPr>
        <w:t xml:space="preserve">The less liquid the fund is, the more difficult and expensive it is to sell. </w:t>
      </w:r>
      <w:r w:rsidR="00A62439">
        <w:rPr>
          <w:rFonts w:ascii="PT Serif" w:hAnsi="PT Serif"/>
        </w:rPr>
        <w:t xml:space="preserve">For investors seeking to construct a more comprehensive allocation including alternative </w:t>
      </w:r>
      <w:r w:rsidR="006E359A">
        <w:rPr>
          <w:rFonts w:ascii="PT Serif" w:hAnsi="PT Serif"/>
        </w:rPr>
        <w:t>or international assets in less-</w:t>
      </w:r>
      <w:r w:rsidR="00A62439">
        <w:rPr>
          <w:rFonts w:ascii="PT Serif" w:hAnsi="PT Serif"/>
        </w:rPr>
        <w:t xml:space="preserve">liquid markets, relying exclusively on ETFs may not be the </w:t>
      </w:r>
      <w:r w:rsidR="00ED58F6">
        <w:rPr>
          <w:rFonts w:ascii="PT Serif" w:hAnsi="PT Serif"/>
        </w:rPr>
        <w:t>best</w:t>
      </w:r>
      <w:r w:rsidR="00A62439">
        <w:rPr>
          <w:rFonts w:ascii="PT Serif" w:hAnsi="PT Serif"/>
        </w:rPr>
        <w:t xml:space="preserve"> </w:t>
      </w:r>
      <w:r w:rsidR="00ED58F6">
        <w:rPr>
          <w:rFonts w:ascii="PT Serif" w:hAnsi="PT Serif"/>
        </w:rPr>
        <w:t>way to invest</w:t>
      </w:r>
      <w:r w:rsidR="00A62439">
        <w:rPr>
          <w:rFonts w:ascii="PT Serif" w:hAnsi="PT Serif"/>
        </w:rPr>
        <w:t xml:space="preserve">. </w:t>
      </w:r>
      <w:r w:rsidR="00ED58F6">
        <w:rPr>
          <w:rFonts w:ascii="PT Serif" w:hAnsi="PT Serif"/>
        </w:rPr>
        <w:t>Owning</w:t>
      </w:r>
      <w:r w:rsidR="009C03BB">
        <w:rPr>
          <w:rFonts w:ascii="PT Serif" w:hAnsi="PT Serif"/>
        </w:rPr>
        <w:t xml:space="preserve"> an ETF with poor liquidity can really sting when markets sell off, leaving investors powerless as the losses pile up. </w:t>
      </w:r>
      <w:r>
        <w:rPr>
          <w:rFonts w:ascii="PT Serif" w:hAnsi="PT Serif"/>
        </w:rPr>
        <w:t>ETFs unable to build enough assets or liquidity are also subject to bei</w:t>
      </w:r>
      <w:r w:rsidR="00ED58F6">
        <w:rPr>
          <w:rFonts w:ascii="PT Serif" w:hAnsi="PT Serif"/>
        </w:rPr>
        <w:t xml:space="preserve">ng closed, which </w:t>
      </w:r>
      <w:r w:rsidR="008A130B">
        <w:rPr>
          <w:rFonts w:ascii="PT Serif" w:hAnsi="PT Serif"/>
        </w:rPr>
        <w:t xml:space="preserve">can </w:t>
      </w:r>
      <w:r w:rsidR="00ED58F6">
        <w:rPr>
          <w:rFonts w:ascii="PT Serif" w:hAnsi="PT Serif"/>
        </w:rPr>
        <w:t xml:space="preserve">force the realization of capital gains on investors as the fund is liquidated. </w:t>
      </w:r>
      <w:r w:rsidR="00F84B31">
        <w:rPr>
          <w:rFonts w:ascii="PT Serif" w:hAnsi="PT Serif"/>
        </w:rPr>
        <w:t xml:space="preserve">This </w:t>
      </w:r>
      <w:r w:rsidR="008A130B">
        <w:rPr>
          <w:rFonts w:ascii="PT Serif" w:hAnsi="PT Serif"/>
        </w:rPr>
        <w:t>disastrous</w:t>
      </w:r>
      <w:r w:rsidR="00F84B31">
        <w:rPr>
          <w:rFonts w:ascii="PT Serif" w:hAnsi="PT Serif"/>
        </w:rPr>
        <w:t xml:space="preserve"> </w:t>
      </w:r>
      <w:r w:rsidR="00521029">
        <w:rPr>
          <w:rFonts w:ascii="PT Serif" w:hAnsi="PT Serif"/>
        </w:rPr>
        <w:t>scenario</w:t>
      </w:r>
      <w:r w:rsidR="00F84B31">
        <w:rPr>
          <w:rFonts w:ascii="PT Serif" w:hAnsi="PT Serif"/>
        </w:rPr>
        <w:t xml:space="preserve"> is actually </w:t>
      </w:r>
      <w:r w:rsidR="006C372C">
        <w:rPr>
          <w:rFonts w:ascii="PT Serif" w:hAnsi="PT Serif"/>
        </w:rPr>
        <w:t xml:space="preserve">not as rare as one might think. </w:t>
      </w:r>
      <w:r w:rsidR="006C372C" w:rsidRPr="00BB0CE3">
        <w:rPr>
          <w:rFonts w:ascii="PT Serif" w:hAnsi="PT Serif"/>
          <w:b/>
        </w:rPr>
        <w:t>A</w:t>
      </w:r>
      <w:r w:rsidR="009C03BB" w:rsidRPr="00BB0CE3">
        <w:rPr>
          <w:rFonts w:ascii="PT Serif" w:hAnsi="PT Serif"/>
          <w:b/>
        </w:rPr>
        <w:t>ccording to FactSet, over 120</w:t>
      </w:r>
      <w:r w:rsidR="001D03A5" w:rsidRPr="00BB0CE3">
        <w:rPr>
          <w:rFonts w:ascii="PT Serif" w:hAnsi="PT Serif"/>
          <w:b/>
        </w:rPr>
        <w:t xml:space="preserve"> ETFs shut down in 2016</w:t>
      </w:r>
      <w:r w:rsidR="008A130B" w:rsidRPr="00BB0CE3">
        <w:rPr>
          <w:rFonts w:ascii="PT Serif" w:hAnsi="PT Serif"/>
          <w:b/>
        </w:rPr>
        <w:t>!</w:t>
      </w:r>
      <w:r w:rsidR="00F611EC" w:rsidRPr="00BB0CE3">
        <w:rPr>
          <w:rStyle w:val="FootnoteReference"/>
          <w:rFonts w:ascii="PT Serif" w:hAnsi="PT Serif"/>
          <w:b/>
        </w:rPr>
        <w:footnoteReference w:id="3"/>
      </w:r>
      <w:r>
        <w:rPr>
          <w:rFonts w:ascii="PT Serif" w:hAnsi="PT Serif"/>
        </w:rPr>
        <w:t xml:space="preserve"> </w:t>
      </w:r>
      <w:r w:rsidR="00B36B76">
        <w:rPr>
          <w:rFonts w:ascii="PT Serif" w:hAnsi="PT Serif"/>
        </w:rPr>
        <w:t>An A</w:t>
      </w:r>
      <w:r w:rsidR="00A62439" w:rsidRPr="00A62439">
        <w:rPr>
          <w:rFonts w:ascii="PT Serif" w:hAnsi="PT Serif"/>
        </w:rPr>
        <w:t xml:space="preserve">dvisor </w:t>
      </w:r>
      <w:r w:rsidR="008B5FC2">
        <w:rPr>
          <w:rFonts w:ascii="PT Serif" w:hAnsi="PT Serif"/>
        </w:rPr>
        <w:t>can help</w:t>
      </w:r>
      <w:r w:rsidR="00A62439" w:rsidRPr="00A62439">
        <w:rPr>
          <w:rFonts w:ascii="PT Serif" w:hAnsi="PT Serif"/>
        </w:rPr>
        <w:t xml:space="preserve"> </w:t>
      </w:r>
      <w:r w:rsidR="008B5FC2">
        <w:rPr>
          <w:rFonts w:ascii="PT Serif" w:hAnsi="PT Serif"/>
        </w:rPr>
        <w:t>accur</w:t>
      </w:r>
      <w:r w:rsidR="00F84B31">
        <w:rPr>
          <w:rFonts w:ascii="PT Serif" w:hAnsi="PT Serif"/>
        </w:rPr>
        <w:t>ately assess the liquidity</w:t>
      </w:r>
      <w:r w:rsidR="00521029">
        <w:rPr>
          <w:rFonts w:ascii="PT Serif" w:hAnsi="PT Serif"/>
        </w:rPr>
        <w:t xml:space="preserve"> risk</w:t>
      </w:r>
      <w:r w:rsidR="00F84B31">
        <w:rPr>
          <w:rFonts w:ascii="PT Serif" w:hAnsi="PT Serif"/>
        </w:rPr>
        <w:t xml:space="preserve"> of an </w:t>
      </w:r>
      <w:r w:rsidR="008B5FC2">
        <w:rPr>
          <w:rFonts w:ascii="PT Serif" w:hAnsi="PT Serif"/>
        </w:rPr>
        <w:t>ETF or access an</w:t>
      </w:r>
      <w:r w:rsidR="00A62439" w:rsidRPr="00A62439">
        <w:rPr>
          <w:rFonts w:ascii="PT Serif" w:hAnsi="PT Serif"/>
        </w:rPr>
        <w:t xml:space="preserve"> investment strategy</w:t>
      </w:r>
      <w:r w:rsidR="008B5FC2">
        <w:rPr>
          <w:rFonts w:ascii="PT Serif" w:hAnsi="PT Serif"/>
        </w:rPr>
        <w:t xml:space="preserve"> through a variety of other </w:t>
      </w:r>
      <w:r w:rsidR="00521029">
        <w:rPr>
          <w:rFonts w:ascii="PT Serif" w:hAnsi="PT Serif"/>
        </w:rPr>
        <w:t>vehicles</w:t>
      </w:r>
      <w:r w:rsidR="008B5FC2">
        <w:rPr>
          <w:rFonts w:ascii="PT Serif" w:hAnsi="PT Serif"/>
        </w:rPr>
        <w:t xml:space="preserve"> to suc</w:t>
      </w:r>
      <w:r>
        <w:rPr>
          <w:rFonts w:ascii="PT Serif" w:hAnsi="PT Serif"/>
        </w:rPr>
        <w:t>cessfully execute an investment idea.</w:t>
      </w:r>
      <w:r w:rsidR="005A42EC">
        <w:rPr>
          <w:rFonts w:ascii="PT Serif" w:hAnsi="PT Serif"/>
        </w:rPr>
        <w:t xml:space="preserve"> </w:t>
      </w:r>
    </w:p>
    <w:p w:rsidR="007F3BAB" w:rsidRDefault="008A130B" w:rsidP="007F3BAB">
      <w:pPr>
        <w:spacing w:after="0"/>
        <w:rPr>
          <w:rFonts w:ascii="PT Serif" w:hAnsi="PT Serif"/>
          <w:smallCaps/>
          <w:color w:val="19556A"/>
          <w:sz w:val="24"/>
          <w:szCs w:val="24"/>
        </w:rPr>
      </w:pPr>
      <w:r>
        <w:rPr>
          <w:rFonts w:ascii="PT Serif" w:hAnsi="PT Serif"/>
          <w:smallCaps/>
          <w:color w:val="19556A"/>
          <w:sz w:val="24"/>
          <w:szCs w:val="24"/>
        </w:rPr>
        <w:t>What’s in Your ETF?</w:t>
      </w:r>
    </w:p>
    <w:p w:rsidR="00F4306F" w:rsidRDefault="001C189A" w:rsidP="00FF2FA4">
      <w:pPr>
        <w:spacing w:after="120"/>
        <w:jc w:val="both"/>
        <w:rPr>
          <w:rFonts w:ascii="PT Serif" w:hAnsi="PT Serif"/>
        </w:rPr>
      </w:pPr>
      <w:r>
        <w:rPr>
          <w:rFonts w:ascii="PT Serif" w:hAnsi="PT Serif"/>
        </w:rPr>
        <w:t xml:space="preserve">A less </w:t>
      </w:r>
      <w:r w:rsidR="00C947BE">
        <w:rPr>
          <w:rFonts w:ascii="PT Serif" w:hAnsi="PT Serif"/>
        </w:rPr>
        <w:t xml:space="preserve">publicized </w:t>
      </w:r>
      <w:r w:rsidR="00DF2788">
        <w:rPr>
          <w:rFonts w:ascii="PT Serif" w:hAnsi="PT Serif"/>
        </w:rPr>
        <w:t>r</w:t>
      </w:r>
      <w:r w:rsidR="00957D57">
        <w:rPr>
          <w:rFonts w:ascii="PT Serif" w:hAnsi="PT Serif"/>
        </w:rPr>
        <w:t>isk</w:t>
      </w:r>
      <w:r w:rsidR="00DF2788">
        <w:rPr>
          <w:rFonts w:ascii="PT Serif" w:hAnsi="PT Serif"/>
        </w:rPr>
        <w:t xml:space="preserve"> ETF</w:t>
      </w:r>
      <w:r w:rsidR="00C947BE">
        <w:rPr>
          <w:rFonts w:ascii="PT Serif" w:hAnsi="PT Serif"/>
        </w:rPr>
        <w:t xml:space="preserve"> investors </w:t>
      </w:r>
      <w:r w:rsidR="00DF2788">
        <w:rPr>
          <w:rFonts w:ascii="PT Serif" w:hAnsi="PT Serif"/>
        </w:rPr>
        <w:t>should</w:t>
      </w:r>
      <w:r w:rsidR="00C947BE">
        <w:rPr>
          <w:rFonts w:ascii="PT Serif" w:hAnsi="PT Serif"/>
        </w:rPr>
        <w:t xml:space="preserve"> be wary of is the representativeness of the ETF name itself. </w:t>
      </w:r>
      <w:bookmarkStart w:id="1" w:name="_GoBack"/>
      <w:bookmarkEnd w:id="1"/>
      <w:r w:rsidR="00C947BE">
        <w:rPr>
          <w:rFonts w:ascii="PT Serif" w:hAnsi="PT Serif"/>
        </w:rPr>
        <w:t xml:space="preserve">Often, it is easy to understand the purpose or underlying mandate of </w:t>
      </w:r>
      <w:r w:rsidR="00CC55B8">
        <w:rPr>
          <w:rFonts w:ascii="PT Serif" w:hAnsi="PT Serif"/>
        </w:rPr>
        <w:t>an ETF tracking a popular index</w:t>
      </w:r>
      <w:r w:rsidR="00C947BE">
        <w:rPr>
          <w:rFonts w:ascii="PT Serif" w:hAnsi="PT Serif"/>
        </w:rPr>
        <w:t xml:space="preserve"> such as the S&amp;P 500. However, as previously mentioned, there are </w:t>
      </w:r>
      <w:r w:rsidR="00521029">
        <w:rPr>
          <w:rFonts w:ascii="PT Serif" w:hAnsi="PT Serif"/>
        </w:rPr>
        <w:t>over 1</w:t>
      </w:r>
      <w:r w:rsidR="004C7220">
        <w:rPr>
          <w:rFonts w:ascii="PT Serif" w:hAnsi="PT Serif"/>
        </w:rPr>
        <w:t>,</w:t>
      </w:r>
      <w:r w:rsidR="00521029">
        <w:rPr>
          <w:rFonts w:ascii="PT Serif" w:hAnsi="PT Serif"/>
        </w:rPr>
        <w:t>3</w:t>
      </w:r>
      <w:r w:rsidR="00C947BE">
        <w:rPr>
          <w:rFonts w:ascii="PT Serif" w:hAnsi="PT Serif"/>
        </w:rPr>
        <w:t xml:space="preserve">00 benchmarks tracked by </w:t>
      </w:r>
      <w:r w:rsidR="00957D57">
        <w:rPr>
          <w:rFonts w:ascii="PT Serif" w:hAnsi="PT Serif"/>
        </w:rPr>
        <w:t>ETFs, and not all of them are as familiar</w:t>
      </w:r>
      <w:r w:rsidR="00C947BE">
        <w:rPr>
          <w:rFonts w:ascii="PT Serif" w:hAnsi="PT Serif"/>
        </w:rPr>
        <w:t xml:space="preserve">. Many </w:t>
      </w:r>
      <w:r>
        <w:rPr>
          <w:rFonts w:ascii="PT Serif" w:hAnsi="PT Serif"/>
        </w:rPr>
        <w:t>ETFs are</w:t>
      </w:r>
      <w:r w:rsidR="00C947BE">
        <w:rPr>
          <w:rFonts w:ascii="PT Serif" w:hAnsi="PT Serif"/>
        </w:rPr>
        <w:t xml:space="preserve"> designed to track lesser-known indices </w:t>
      </w:r>
      <w:r>
        <w:rPr>
          <w:rFonts w:ascii="PT Serif" w:hAnsi="PT Serif"/>
        </w:rPr>
        <w:t>which</w:t>
      </w:r>
      <w:r w:rsidR="00C947BE">
        <w:rPr>
          <w:rFonts w:ascii="PT Serif" w:hAnsi="PT Serif"/>
        </w:rPr>
        <w:t xml:space="preserve"> </w:t>
      </w:r>
      <w:r>
        <w:rPr>
          <w:rFonts w:ascii="PT Serif" w:hAnsi="PT Serif"/>
        </w:rPr>
        <w:t>capture performance of</w:t>
      </w:r>
      <w:r w:rsidR="00C947BE">
        <w:rPr>
          <w:rFonts w:ascii="PT Serif" w:hAnsi="PT Serif"/>
        </w:rPr>
        <w:t xml:space="preserve"> illiquid spaces </w:t>
      </w:r>
      <w:r>
        <w:rPr>
          <w:rFonts w:ascii="PT Serif" w:hAnsi="PT Serif"/>
        </w:rPr>
        <w:t>in</w:t>
      </w:r>
      <w:r w:rsidR="00C947BE">
        <w:rPr>
          <w:rFonts w:ascii="PT Serif" w:hAnsi="PT Serif"/>
        </w:rPr>
        <w:t xml:space="preserve"> the market or areas with few applicable companies.</w:t>
      </w:r>
      <w:r w:rsidR="00C94E41">
        <w:rPr>
          <w:rFonts w:ascii="PT Serif" w:hAnsi="PT Serif"/>
        </w:rPr>
        <w:t xml:space="preserve"> These ETFs </w:t>
      </w:r>
      <w:r w:rsidR="00CD4E33">
        <w:rPr>
          <w:rFonts w:ascii="PT Serif" w:hAnsi="PT Serif"/>
        </w:rPr>
        <w:t>can have allocations skewed towards a</w:t>
      </w:r>
      <w:r w:rsidR="00297BF7">
        <w:rPr>
          <w:rFonts w:ascii="PT Serif" w:hAnsi="PT Serif"/>
        </w:rPr>
        <w:t xml:space="preserve"> few stocks or sectors.</w:t>
      </w:r>
      <w:r w:rsidR="00BB0CE3">
        <w:rPr>
          <w:rFonts w:ascii="PT Serif" w:hAnsi="PT Serif"/>
        </w:rPr>
        <w:t xml:space="preserve"> Using the SPDR Emerging Middle East and Africa ETF (GAF) as an example, the name of the ETF gives the impression that a variety of countries across two continents are included in the product. However, due to the sizes of the underlying equity markets and liquidity considerations, roughly 75% of assets are invested in just one country, South Africa. (As it turned out, the fund was liquidated during the course of writing of this paper). </w:t>
      </w:r>
      <w:r w:rsidR="00957D57">
        <w:rPr>
          <w:rFonts w:ascii="PT Serif" w:hAnsi="PT Serif"/>
        </w:rPr>
        <w:t>Thus</w:t>
      </w:r>
      <w:r w:rsidR="00C947BE">
        <w:rPr>
          <w:rFonts w:ascii="PT Serif" w:hAnsi="PT Serif"/>
        </w:rPr>
        <w:t xml:space="preserve">, the underlying holdings of an ETF </w:t>
      </w:r>
      <w:r w:rsidR="00DF2788">
        <w:rPr>
          <w:rFonts w:ascii="PT Serif" w:hAnsi="PT Serif"/>
        </w:rPr>
        <w:t>may not be as diver</w:t>
      </w:r>
      <w:r w:rsidR="00297BF7">
        <w:rPr>
          <w:rFonts w:ascii="PT Serif" w:hAnsi="PT Serif"/>
        </w:rPr>
        <w:t>sified or representative of the investment objective</w:t>
      </w:r>
      <w:r w:rsidR="00DF2788">
        <w:rPr>
          <w:rFonts w:ascii="PT Serif" w:hAnsi="PT Serif"/>
        </w:rPr>
        <w:t xml:space="preserve"> as </w:t>
      </w:r>
      <w:r w:rsidR="002D3F88">
        <w:rPr>
          <w:rFonts w:ascii="PT Serif" w:hAnsi="PT Serif"/>
        </w:rPr>
        <w:t>the</w:t>
      </w:r>
      <w:r w:rsidR="00DF2788">
        <w:rPr>
          <w:rFonts w:ascii="PT Serif" w:hAnsi="PT Serif"/>
        </w:rPr>
        <w:t xml:space="preserve"> name suggests. </w:t>
      </w:r>
    </w:p>
    <w:p w:rsidR="00604836" w:rsidRPr="00521029" w:rsidRDefault="00604836" w:rsidP="00C947BE">
      <w:pPr>
        <w:jc w:val="both"/>
        <w:rPr>
          <w:rFonts w:ascii="PT Serif" w:hAnsi="PT Serif"/>
          <w:b/>
          <w:smallCaps/>
          <w:color w:val="19556A"/>
          <w:sz w:val="28"/>
          <w:szCs w:val="28"/>
          <w:u w:val="single"/>
        </w:rPr>
      </w:pPr>
      <w:r w:rsidRPr="00521029">
        <w:rPr>
          <w:rFonts w:ascii="PT Serif" w:hAnsi="PT Serif"/>
          <w:b/>
          <w:smallCaps/>
          <w:color w:val="19556A"/>
          <w:sz w:val="28"/>
          <w:szCs w:val="28"/>
          <w:u w:val="single"/>
        </w:rPr>
        <w:lastRenderedPageBreak/>
        <w:t>The Bottom Line</w:t>
      </w:r>
    </w:p>
    <w:p w:rsidR="00604836" w:rsidRDefault="00BB0CE3" w:rsidP="00604836">
      <w:pPr>
        <w:jc w:val="both"/>
        <w:rPr>
          <w:rFonts w:ascii="PT Serif" w:hAnsi="PT Serif"/>
        </w:rPr>
      </w:pPr>
      <w:r w:rsidRPr="00F4060B">
        <w:rPr>
          <w:rFonts w:ascii="PT Serif" w:hAnsi="PT Serif"/>
          <w:i/>
          <w:noProof/>
          <w:color w:val="2B5763"/>
          <w:u w:val="single"/>
        </w:rPr>
        <mc:AlternateContent>
          <mc:Choice Requires="wps">
            <w:drawing>
              <wp:anchor distT="0" distB="0" distL="274320" distR="114300" simplePos="0" relativeHeight="251661312" behindDoc="0" locked="0" layoutInCell="1" allowOverlap="1" wp14:anchorId="6D00BB95" wp14:editId="50292D4D">
                <wp:simplePos x="0" y="0"/>
                <wp:positionH relativeFrom="margin">
                  <wp:align>right</wp:align>
                </wp:positionH>
                <wp:positionV relativeFrom="margin">
                  <wp:posOffset>1466850</wp:posOffset>
                </wp:positionV>
                <wp:extent cx="6539865" cy="3133725"/>
                <wp:effectExtent l="0" t="0" r="0" b="9525"/>
                <wp:wrapSquare wrapText="bothSides"/>
                <wp:docPr id="1" name="Rectangle 1"/>
                <wp:cNvGraphicFramePr/>
                <a:graphic xmlns:a="http://schemas.openxmlformats.org/drawingml/2006/main">
                  <a:graphicData uri="http://schemas.microsoft.com/office/word/2010/wordprocessingShape">
                    <wps:wsp>
                      <wps:cNvSpPr/>
                      <wps:spPr>
                        <a:xfrm>
                          <a:off x="0" y="0"/>
                          <a:ext cx="6539865" cy="3133725"/>
                        </a:xfrm>
                        <a:prstGeom prst="rect">
                          <a:avLst/>
                        </a:prstGeom>
                        <a:solidFill>
                          <a:srgbClr val="F6F0E2">
                            <a:alpha val="84706"/>
                          </a:srgbClr>
                        </a:solidFill>
                        <a:ln w="28575" cap="flat" cmpd="sng" algn="ctr">
                          <a:noFill/>
                          <a:prstDash val="solid"/>
                        </a:ln>
                        <a:effectLst/>
                      </wps:spPr>
                      <wps:txbx>
                        <w:txbxContent>
                          <w:p w:rsidR="00D343D6" w:rsidRPr="00E522F3" w:rsidRDefault="00F4060B" w:rsidP="009979B3">
                            <w:pPr>
                              <w:pStyle w:val="Heading1"/>
                              <w:spacing w:before="0"/>
                              <w:rPr>
                                <w:rFonts w:ascii="PT Serif" w:hAnsi="PT Serif"/>
                                <w:i w:val="0"/>
                                <w:smallCaps/>
                                <w:color w:val="19556A"/>
                                <w:sz w:val="28"/>
                                <w:szCs w:val="28"/>
                              </w:rPr>
                            </w:pPr>
                            <w:r w:rsidRPr="00E522F3">
                              <w:rPr>
                                <w:rFonts w:ascii="PT Serif" w:hAnsi="PT Serif"/>
                                <w:i w:val="0"/>
                                <w:smallCaps/>
                                <w:color w:val="19556A"/>
                                <w:sz w:val="28"/>
                                <w:szCs w:val="28"/>
                              </w:rPr>
                              <w:t>About the Author</w:t>
                            </w:r>
                            <w:r w:rsidR="009979B3" w:rsidRPr="00E522F3">
                              <w:rPr>
                                <w:rFonts w:ascii="PT Serif" w:hAnsi="PT Serif"/>
                                <w:i w:val="0"/>
                                <w:smallCaps/>
                                <w:color w:val="19556A"/>
                                <w:sz w:val="28"/>
                                <w:szCs w:val="28"/>
                              </w:rPr>
                              <w:t>:</w:t>
                            </w:r>
                          </w:p>
                          <w:p w:rsidR="009979B3" w:rsidRPr="00E522F3" w:rsidRDefault="009979B3" w:rsidP="00B92C52">
                            <w:pPr>
                              <w:spacing w:after="0"/>
                              <w:rPr>
                                <w:rFonts w:ascii="PT Serif" w:hAnsi="PT Serif"/>
                                <w:color w:val="19556A"/>
                              </w:rPr>
                            </w:pPr>
                          </w:p>
                          <w:p w:rsidR="009979B3" w:rsidRPr="00E522F3" w:rsidRDefault="00C43205" w:rsidP="00E7338D">
                            <w:pPr>
                              <w:jc w:val="both"/>
                              <w:rPr>
                                <w:rFonts w:ascii="PT Serif" w:hAnsi="PT Serif"/>
                                <w:color w:val="19556A"/>
                              </w:rPr>
                            </w:pPr>
                            <w:r>
                              <w:rPr>
                                <w:rFonts w:ascii="PT Serif" w:hAnsi="PT Serif"/>
                                <w:b/>
                                <w:bCs/>
                                <w:iCs/>
                                <w:color w:val="19556A"/>
                              </w:rPr>
                              <w:t>Adam Sabban</w:t>
                            </w:r>
                            <w:r>
                              <w:rPr>
                                <w:rFonts w:ascii="PT Serif" w:hAnsi="PT Serif"/>
                                <w:color w:val="19556A"/>
                              </w:rPr>
                              <w:t xml:space="preserve"> is an Associate, Portfolio Analyst with Round Table Wealth Management. </w:t>
                            </w:r>
                          </w:p>
                          <w:p w:rsidR="00860016" w:rsidRPr="009B50FE" w:rsidRDefault="00860016" w:rsidP="00E7338D">
                            <w:pPr>
                              <w:autoSpaceDE w:val="0"/>
                              <w:autoSpaceDN w:val="0"/>
                              <w:jc w:val="both"/>
                              <w:rPr>
                                <w:rFonts w:ascii="PT Serif" w:hAnsi="PT Serif"/>
                                <w:color w:val="19556A"/>
                              </w:rPr>
                            </w:pPr>
                            <w:r w:rsidRPr="00E522F3">
                              <w:rPr>
                                <w:rFonts w:ascii="PT Serif" w:hAnsi="PT Serif"/>
                                <w:color w:val="19556A"/>
                              </w:rPr>
                              <w:t>Round Table Wealth Management is a leading, independent, fee-only SEC Registered Investment Advisor (or “RIA”) with offices in New York and New Jersey.  </w:t>
                            </w:r>
                            <w:r w:rsidR="00E522F3">
                              <w:rPr>
                                <w:rFonts w:ascii="PT Serif" w:hAnsi="PT Serif"/>
                                <w:color w:val="19556A"/>
                              </w:rPr>
                              <w:t>RTWM</w:t>
                            </w:r>
                            <w:r w:rsidRPr="00E522F3">
                              <w:rPr>
                                <w:rFonts w:ascii="PT Serif" w:hAnsi="PT Serif"/>
                                <w:color w:val="19556A"/>
                              </w:rPr>
                              <w:t xml:space="preserve"> operates as a multi-fam</w:t>
                            </w:r>
                            <w:r w:rsidR="00C43205">
                              <w:rPr>
                                <w:rFonts w:ascii="PT Serif" w:hAnsi="PT Serif"/>
                                <w:color w:val="19556A"/>
                              </w:rPr>
                              <w:t>il</w:t>
                            </w:r>
                            <w:r w:rsidR="00C50463">
                              <w:rPr>
                                <w:rFonts w:ascii="PT Serif" w:hAnsi="PT Serif"/>
                                <w:color w:val="19556A"/>
                              </w:rPr>
                              <w:t>y office with approximately $950</w:t>
                            </w:r>
                            <w:r w:rsidRPr="00E522F3">
                              <w:rPr>
                                <w:rFonts w:ascii="PT Serif" w:hAnsi="PT Serif"/>
                                <w:color w:val="19556A"/>
                              </w:rPr>
                              <w:t xml:space="preserve"> </w:t>
                            </w:r>
                            <w:r w:rsidR="00C43205">
                              <w:rPr>
                                <w:rFonts w:ascii="PT Serif" w:hAnsi="PT Serif"/>
                                <w:color w:val="19556A"/>
                              </w:rPr>
                              <w:t>million</w:t>
                            </w:r>
                            <w:r w:rsidRPr="00E522F3">
                              <w:rPr>
                                <w:rFonts w:ascii="PT Serif" w:hAnsi="PT Serif"/>
                                <w:color w:val="19556A"/>
                              </w:rPr>
                              <w:t xml:space="preserve"> in assets under ma</w:t>
                            </w:r>
                            <w:r w:rsidR="00C50463">
                              <w:rPr>
                                <w:rFonts w:ascii="PT Serif" w:hAnsi="PT Serif"/>
                                <w:color w:val="19556A"/>
                              </w:rPr>
                              <w:t>nagement as of December 31, 2016</w:t>
                            </w:r>
                            <w:r w:rsidRPr="00E522F3">
                              <w:rPr>
                                <w:rFonts w:ascii="PT Serif" w:hAnsi="PT Serif"/>
                                <w:color w:val="19556A"/>
                              </w:rPr>
                              <w:t>, and serves a diverse client base throughout the U.S. as well as internationally.  F</w:t>
                            </w:r>
                            <w:r w:rsidR="00E7338D" w:rsidRPr="00E522F3">
                              <w:rPr>
                                <w:rFonts w:ascii="PT Serif" w:hAnsi="PT Serif"/>
                                <w:color w:val="19556A"/>
                              </w:rPr>
                              <w:t>ounded in 1999</w:t>
                            </w:r>
                            <w:r w:rsidRPr="00E522F3">
                              <w:rPr>
                                <w:rFonts w:ascii="PT Serif" w:hAnsi="PT Serif"/>
                                <w:color w:val="19556A"/>
                              </w:rPr>
                              <w:t xml:space="preserve"> to provide objective investment advice, </w:t>
                            </w:r>
                            <w:r w:rsidR="00E522F3">
                              <w:rPr>
                                <w:rFonts w:ascii="PT Serif" w:hAnsi="PT Serif"/>
                                <w:color w:val="19556A"/>
                              </w:rPr>
                              <w:t>RTWM</w:t>
                            </w:r>
                            <w:r w:rsidRPr="00E522F3">
                              <w:rPr>
                                <w:rFonts w:ascii="PT Serif" w:hAnsi="PT Serif"/>
                                <w:color w:val="19556A"/>
                              </w:rPr>
                              <w:t xml:space="preserve"> offers a wide range of </w:t>
                            </w:r>
                            <w:r w:rsidR="00F52DD4">
                              <w:rPr>
                                <w:rFonts w:ascii="PT Serif" w:hAnsi="PT Serif"/>
                                <w:color w:val="19556A"/>
                              </w:rPr>
                              <w:t xml:space="preserve">holistic </w:t>
                            </w:r>
                            <w:r w:rsidRPr="00E522F3">
                              <w:rPr>
                                <w:rFonts w:ascii="PT Serif" w:hAnsi="PT Serif"/>
                                <w:color w:val="19556A"/>
                              </w:rPr>
                              <w:t xml:space="preserve">advisory services and investment solutions that are tailored to the specific needs and requests of each client.  </w:t>
                            </w:r>
                            <w:r w:rsidR="00E7338D" w:rsidRPr="00E522F3">
                              <w:rPr>
                                <w:rFonts w:ascii="PT Serif" w:hAnsi="PT Serif"/>
                                <w:color w:val="19556A"/>
                              </w:rPr>
                              <w:t xml:space="preserve">Learn more at </w:t>
                            </w:r>
                            <w:hyperlink r:id="rId11" w:history="1">
                              <w:r w:rsidR="00E7338D" w:rsidRPr="009B50FE">
                                <w:rPr>
                                  <w:rStyle w:val="Hyperlink"/>
                                  <w:rFonts w:ascii="PT Serif" w:hAnsi="PT Serif"/>
                                </w:rPr>
                                <w:t>www.roundtablewealth.com</w:t>
                              </w:r>
                            </w:hyperlink>
                            <w:r w:rsidR="00E7338D" w:rsidRPr="009B50FE">
                              <w:rPr>
                                <w:rFonts w:ascii="PT Serif" w:hAnsi="PT Serif"/>
                                <w:color w:val="19556A"/>
                              </w:rPr>
                              <w:t xml:space="preserve">.  </w:t>
                            </w:r>
                            <w:r w:rsidRPr="009B50FE">
                              <w:rPr>
                                <w:rFonts w:ascii="PT Serif" w:hAnsi="PT Serif"/>
                                <w:color w:val="19556A"/>
                              </w:rPr>
                              <w:t>                         </w:t>
                            </w:r>
                          </w:p>
                          <w:p w:rsidR="00D343D6" w:rsidRPr="009B50FE" w:rsidRDefault="00D343D6" w:rsidP="00D343D6">
                            <w:pPr>
                              <w:rPr>
                                <w:rFonts w:ascii="PT Serif" w:hAnsi="PT Serif"/>
                                <w:color w:val="19556A"/>
                              </w:rPr>
                            </w:pPr>
                          </w:p>
                        </w:txbxContent>
                      </wps:txbx>
                      <wps:bodyPr rot="0" spcFirstLastPara="0" vertOverflow="overflow" horzOverflow="overflow" vert="horz" wrap="square" lIns="182880" tIns="457200" rIns="18288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0BB95" id="Rectangle 1" o:spid="_x0000_s1026" style="position:absolute;left:0;text-align:left;margin-left:463.75pt;margin-top:115.5pt;width:514.95pt;height:246.75pt;z-index:251661312;visibility:visible;mso-wrap-style:square;mso-width-percent:0;mso-height-percent:0;mso-wrap-distance-left:21.6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" fillcolor="#f6f0e2" stroked="f" strokeweight="2.25pt">
                <v:fill opacity="55512f"/>
                <v:textbox inset="14.4pt,36pt,14.4pt,10.8pt">
                  <w:txbxContent>
                    <w:p w:rsidR="00D343D6" w:rsidRPr="00E522F3" w:rsidRDefault="00F4060B" w:rsidP="009979B3">
                      <w:pPr>
                        <w:pStyle w:val="Heading1"/>
                        <w:spacing w:before="0"/>
                        <w:rPr>
                          <w:rFonts w:ascii="PT Serif" w:hAnsi="PT Serif"/>
                          <w:i w:val="0"/>
                          <w:smallCaps/>
                          <w:color w:val="19556A"/>
                          <w:sz w:val="28"/>
                          <w:szCs w:val="28"/>
                        </w:rPr>
                      </w:pPr>
                      <w:r w:rsidRPr="00E522F3">
                        <w:rPr>
                          <w:rFonts w:ascii="PT Serif" w:hAnsi="PT Serif"/>
                          <w:i w:val="0"/>
                          <w:smallCaps/>
                          <w:color w:val="19556A"/>
                          <w:sz w:val="28"/>
                          <w:szCs w:val="28"/>
                        </w:rPr>
                        <w:t>About the Author</w:t>
                      </w:r>
                      <w:r w:rsidR="009979B3" w:rsidRPr="00E522F3">
                        <w:rPr>
                          <w:rFonts w:ascii="PT Serif" w:hAnsi="PT Serif"/>
                          <w:i w:val="0"/>
                          <w:smallCaps/>
                          <w:color w:val="19556A"/>
                          <w:sz w:val="28"/>
                          <w:szCs w:val="28"/>
                        </w:rPr>
                        <w:t>:</w:t>
                      </w:r>
                    </w:p>
                    <w:p w:rsidR="009979B3" w:rsidRPr="00E522F3" w:rsidRDefault="009979B3" w:rsidP="00B92C52">
                      <w:pPr>
                        <w:spacing w:after="0"/>
                        <w:rPr>
                          <w:rFonts w:ascii="PT Serif" w:hAnsi="PT Serif"/>
                          <w:color w:val="19556A"/>
                        </w:rPr>
                      </w:pPr>
                    </w:p>
                    <w:p w:rsidR="009979B3" w:rsidRPr="00E522F3" w:rsidRDefault="00C43205" w:rsidP="00E7338D">
                      <w:pPr>
                        <w:jc w:val="both"/>
                        <w:rPr>
                          <w:rFonts w:ascii="PT Serif" w:hAnsi="PT Serif"/>
                          <w:color w:val="19556A"/>
                        </w:rPr>
                      </w:pPr>
                      <w:r>
                        <w:rPr>
                          <w:rFonts w:ascii="PT Serif" w:hAnsi="PT Serif"/>
                          <w:b/>
                          <w:bCs/>
                          <w:iCs/>
                          <w:color w:val="19556A"/>
                        </w:rPr>
                        <w:t>Adam Sabban</w:t>
                      </w:r>
                      <w:r>
                        <w:rPr>
                          <w:rFonts w:ascii="PT Serif" w:hAnsi="PT Serif"/>
                          <w:color w:val="19556A"/>
                        </w:rPr>
                        <w:t xml:space="preserve"> is an Associate, Portfolio Analyst with Round Table Wealth Management. </w:t>
                      </w:r>
                    </w:p>
                    <w:p w:rsidR="00860016" w:rsidRPr="009B50FE" w:rsidRDefault="00860016" w:rsidP="00E7338D">
                      <w:pPr>
                        <w:autoSpaceDE w:val="0"/>
                        <w:autoSpaceDN w:val="0"/>
                        <w:jc w:val="both"/>
                        <w:rPr>
                          <w:rFonts w:ascii="PT Serif" w:hAnsi="PT Serif"/>
                          <w:color w:val="19556A"/>
                        </w:rPr>
                      </w:pPr>
                      <w:r w:rsidRPr="00E522F3">
                        <w:rPr>
                          <w:rFonts w:ascii="PT Serif" w:hAnsi="PT Serif"/>
                          <w:color w:val="19556A"/>
                        </w:rPr>
                        <w:t>Round Table Wealth Management is a leading, independent, fee-only SEC Registered Investment Advisor (or “RIA”) with offices in New York and New Jersey.  </w:t>
                      </w:r>
                      <w:r w:rsidR="00E522F3">
                        <w:rPr>
                          <w:rFonts w:ascii="PT Serif" w:hAnsi="PT Serif"/>
                          <w:color w:val="19556A"/>
                        </w:rPr>
                        <w:t>RTWM</w:t>
                      </w:r>
                      <w:r w:rsidRPr="00E522F3">
                        <w:rPr>
                          <w:rFonts w:ascii="PT Serif" w:hAnsi="PT Serif"/>
                          <w:color w:val="19556A"/>
                        </w:rPr>
                        <w:t xml:space="preserve"> operates as a multi-fam</w:t>
                      </w:r>
                      <w:r w:rsidR="00C43205">
                        <w:rPr>
                          <w:rFonts w:ascii="PT Serif" w:hAnsi="PT Serif"/>
                          <w:color w:val="19556A"/>
                        </w:rPr>
                        <w:t>il</w:t>
                      </w:r>
                      <w:r w:rsidR="00C50463">
                        <w:rPr>
                          <w:rFonts w:ascii="PT Serif" w:hAnsi="PT Serif"/>
                          <w:color w:val="19556A"/>
                        </w:rPr>
                        <w:t>y office with approximately $950</w:t>
                      </w:r>
                      <w:r w:rsidRPr="00E522F3">
                        <w:rPr>
                          <w:rFonts w:ascii="PT Serif" w:hAnsi="PT Serif"/>
                          <w:color w:val="19556A"/>
                        </w:rPr>
                        <w:t xml:space="preserve"> </w:t>
                      </w:r>
                      <w:r w:rsidR="00C43205">
                        <w:rPr>
                          <w:rFonts w:ascii="PT Serif" w:hAnsi="PT Serif"/>
                          <w:color w:val="19556A"/>
                        </w:rPr>
                        <w:t>million</w:t>
                      </w:r>
                      <w:r w:rsidRPr="00E522F3">
                        <w:rPr>
                          <w:rFonts w:ascii="PT Serif" w:hAnsi="PT Serif"/>
                          <w:color w:val="19556A"/>
                        </w:rPr>
                        <w:t xml:space="preserve"> in assets under ma</w:t>
                      </w:r>
                      <w:r w:rsidR="00C50463">
                        <w:rPr>
                          <w:rFonts w:ascii="PT Serif" w:hAnsi="PT Serif"/>
                          <w:color w:val="19556A"/>
                        </w:rPr>
                        <w:t>nagement as of December 31, 2016</w:t>
                      </w:r>
                      <w:r w:rsidRPr="00E522F3">
                        <w:rPr>
                          <w:rFonts w:ascii="PT Serif" w:hAnsi="PT Serif"/>
                          <w:color w:val="19556A"/>
                        </w:rPr>
                        <w:t>, and serves a diverse client base throughout the U.S. as well as internationally.  F</w:t>
                      </w:r>
                      <w:r w:rsidR="00E7338D" w:rsidRPr="00E522F3">
                        <w:rPr>
                          <w:rFonts w:ascii="PT Serif" w:hAnsi="PT Serif"/>
                          <w:color w:val="19556A"/>
                        </w:rPr>
                        <w:t>ounded in 1999</w:t>
                      </w:r>
                      <w:r w:rsidRPr="00E522F3">
                        <w:rPr>
                          <w:rFonts w:ascii="PT Serif" w:hAnsi="PT Serif"/>
                          <w:color w:val="19556A"/>
                        </w:rPr>
                        <w:t xml:space="preserve"> to provide objective investment advice, </w:t>
                      </w:r>
                      <w:r w:rsidR="00E522F3">
                        <w:rPr>
                          <w:rFonts w:ascii="PT Serif" w:hAnsi="PT Serif"/>
                          <w:color w:val="19556A"/>
                        </w:rPr>
                        <w:t>RTWM</w:t>
                      </w:r>
                      <w:r w:rsidRPr="00E522F3">
                        <w:rPr>
                          <w:rFonts w:ascii="PT Serif" w:hAnsi="PT Serif"/>
                          <w:color w:val="19556A"/>
                        </w:rPr>
                        <w:t xml:space="preserve"> offers a wide range of </w:t>
                      </w:r>
                      <w:r w:rsidR="00F52DD4">
                        <w:rPr>
                          <w:rFonts w:ascii="PT Serif" w:hAnsi="PT Serif"/>
                          <w:color w:val="19556A"/>
                        </w:rPr>
                        <w:t xml:space="preserve">holistic </w:t>
                      </w:r>
                      <w:r w:rsidRPr="00E522F3">
                        <w:rPr>
                          <w:rFonts w:ascii="PT Serif" w:hAnsi="PT Serif"/>
                          <w:color w:val="19556A"/>
                        </w:rPr>
                        <w:t xml:space="preserve">advisory services and investment solutions that are tailored to the specific needs and requests of each client.  </w:t>
                      </w:r>
                      <w:r w:rsidR="00E7338D" w:rsidRPr="00E522F3">
                        <w:rPr>
                          <w:rFonts w:ascii="PT Serif" w:hAnsi="PT Serif"/>
                          <w:color w:val="19556A"/>
                        </w:rPr>
                        <w:t xml:space="preserve">Learn more at </w:t>
                      </w:r>
                      <w:hyperlink r:id="rId12" w:history="1">
                        <w:r w:rsidR="00E7338D" w:rsidRPr="009B50FE">
                          <w:rPr>
                            <w:rStyle w:val="Hyperlink"/>
                            <w:rFonts w:ascii="PT Serif" w:hAnsi="PT Serif"/>
                          </w:rPr>
                          <w:t>www.roundtablewealth.com</w:t>
                        </w:r>
                      </w:hyperlink>
                      <w:r w:rsidR="00E7338D" w:rsidRPr="009B50FE">
                        <w:rPr>
                          <w:rFonts w:ascii="PT Serif" w:hAnsi="PT Serif"/>
                          <w:color w:val="19556A"/>
                        </w:rPr>
                        <w:t xml:space="preserve">.  </w:t>
                      </w:r>
                      <w:r w:rsidRPr="009B50FE">
                        <w:rPr>
                          <w:rFonts w:ascii="PT Serif" w:hAnsi="PT Serif"/>
                          <w:color w:val="19556A"/>
                        </w:rPr>
                        <w:t>                         </w:t>
                      </w:r>
                    </w:p>
                    <w:p w:rsidR="00D343D6" w:rsidRPr="009B50FE" w:rsidRDefault="00D343D6" w:rsidP="00D343D6">
                      <w:pPr>
                        <w:rPr>
                          <w:rFonts w:ascii="PT Serif" w:hAnsi="PT Serif"/>
                          <w:color w:val="19556A"/>
                        </w:rPr>
                      </w:pPr>
                    </w:p>
                  </w:txbxContent>
                </v:textbox>
                <w10:wrap type="square" anchorx="margin" anchory="margin"/>
              </v:rect>
            </w:pict>
          </mc:Fallback>
        </mc:AlternateContent>
      </w:r>
      <w:r w:rsidR="00604836">
        <w:rPr>
          <w:rFonts w:ascii="PT Serif" w:hAnsi="PT Serif"/>
        </w:rPr>
        <w:t xml:space="preserve">ETFs have bridged the gap between index mutual funds and stocks, creating new pools of liquidity, </w:t>
      </w:r>
      <w:r w:rsidR="00CC55B8">
        <w:rPr>
          <w:rFonts w:ascii="PT Serif" w:hAnsi="PT Serif"/>
        </w:rPr>
        <w:t>while</w:t>
      </w:r>
      <w:r w:rsidR="00604836">
        <w:rPr>
          <w:rFonts w:ascii="PT Serif" w:hAnsi="PT Serif"/>
        </w:rPr>
        <w:t xml:space="preserve"> enhancing transparency for investors. Despite their benefits, it is impo</w:t>
      </w:r>
      <w:r w:rsidR="006841FA">
        <w:rPr>
          <w:rFonts w:ascii="PT Serif" w:hAnsi="PT Serif"/>
        </w:rPr>
        <w:t xml:space="preserve">rtant to remember that ETFs are </w:t>
      </w:r>
      <w:r w:rsidR="00604836">
        <w:rPr>
          <w:rFonts w:ascii="PT Serif" w:hAnsi="PT Serif"/>
        </w:rPr>
        <w:t>a set of tools which still need a hand to guide them to their best use</w:t>
      </w:r>
      <w:r w:rsidR="00604836" w:rsidRPr="004C7220">
        <w:rPr>
          <w:rFonts w:ascii="PT Serif" w:hAnsi="PT Serif"/>
        </w:rPr>
        <w:t>.</w:t>
      </w:r>
      <w:r w:rsidR="00604836">
        <w:rPr>
          <w:rFonts w:ascii="PT Serif" w:hAnsi="PT Serif"/>
        </w:rPr>
        <w:t xml:space="preserve"> The crux of the matter is that while there are passive investments, there is ultimately no such thing as passive investing. </w:t>
      </w:r>
      <w:r w:rsidR="001204B6">
        <w:rPr>
          <w:rFonts w:ascii="PT Serif" w:hAnsi="PT Serif"/>
        </w:rPr>
        <w:t xml:space="preserve"> </w:t>
      </w:r>
      <w:r w:rsidR="00F43204" w:rsidRPr="00CB2329">
        <w:rPr>
          <w:rFonts w:ascii="PT Serif" w:hAnsi="PT Serif"/>
          <w:color w:val="FFFFFF" w:themeColor="background1"/>
        </w:rPr>
        <w:t>lllllllllllllllllllllllllllllllllllllllllllllllllllllllllllllllllllllllllllllllllllllllllllllllllllllllllllllllllllllllllllllllllllllllllllllllllllllllll</w:t>
      </w:r>
    </w:p>
    <w:p w:rsidR="001C2088" w:rsidRDefault="001C2088" w:rsidP="00604836">
      <w:pPr>
        <w:jc w:val="both"/>
        <w:rPr>
          <w:rFonts w:ascii="PT Serif" w:hAnsi="PT Serif"/>
        </w:rPr>
      </w:pPr>
    </w:p>
    <w:p w:rsidR="001C2088" w:rsidRDefault="001C2088" w:rsidP="00604836">
      <w:pPr>
        <w:jc w:val="both"/>
        <w:rPr>
          <w:rFonts w:ascii="PT Serif" w:hAnsi="PT Serif"/>
        </w:rPr>
      </w:pPr>
    </w:p>
    <w:p w:rsidR="001C2088" w:rsidRDefault="001C2088" w:rsidP="00604836">
      <w:pPr>
        <w:jc w:val="both"/>
        <w:rPr>
          <w:rFonts w:ascii="PT Serif" w:hAnsi="PT Serif"/>
        </w:rPr>
      </w:pPr>
    </w:p>
    <w:p w:rsidR="001C2088" w:rsidRDefault="001C2088" w:rsidP="00604836">
      <w:pPr>
        <w:jc w:val="both"/>
        <w:rPr>
          <w:rFonts w:ascii="PT Serif" w:hAnsi="PT Serif"/>
        </w:rPr>
      </w:pPr>
    </w:p>
    <w:p w:rsidR="00C02BBA" w:rsidRDefault="00C02BBA" w:rsidP="00C947BE">
      <w:pPr>
        <w:jc w:val="both"/>
        <w:rPr>
          <w:rFonts w:ascii="PT Serif" w:hAnsi="PT Serif"/>
        </w:rPr>
      </w:pPr>
    </w:p>
    <w:p w:rsidR="00DD03C8" w:rsidRPr="00F91664" w:rsidRDefault="00DD03C8" w:rsidP="00DD03C8">
      <w:pPr>
        <w:rPr>
          <w:rFonts w:ascii="PT Serif" w:hAnsi="PT Serif"/>
        </w:rPr>
      </w:pPr>
    </w:p>
    <w:sectPr w:rsidR="00DD03C8" w:rsidRPr="00F91664" w:rsidSect="00A8566E">
      <w:headerReference w:type="default" r:id="rId13"/>
      <w:footerReference w:type="even" r:id="rId14"/>
      <w:footerReference w:type="default" r:id="rId15"/>
      <w:headerReference w:type="first" r:id="rId16"/>
      <w:footerReference w:type="first" r:id="rId17"/>
      <w:pgSz w:w="12240" w:h="15840"/>
      <w:pgMar w:top="1440" w:right="1080" w:bottom="1440" w:left="1080" w:header="288"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2A7" w:rsidRDefault="005D62A7" w:rsidP="00D343D6">
      <w:r>
        <w:separator/>
      </w:r>
    </w:p>
  </w:endnote>
  <w:endnote w:type="continuationSeparator" w:id="0">
    <w:p w:rsidR="005D62A7" w:rsidRDefault="005D62A7" w:rsidP="00D34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T Serif">
    <w:panose1 w:val="020A0603040505020204"/>
    <w:charset w:val="00"/>
    <w:family w:val="roman"/>
    <w:pitch w:val="variable"/>
    <w:sig w:usb0="A00002EF" w:usb1="5000204B" w:usb2="00000000" w:usb3="00000000" w:csb0="00000097" w:csb1="00000000"/>
  </w:font>
  <w:font w:name="HGSMinchoE">
    <w:altName w:val="Yu Gothic"/>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GGothicM">
    <w:charset w:val="80"/>
    <w:family w:val="modern"/>
    <w:pitch w:val="fixed"/>
    <w:sig w:usb0="80000281" w:usb1="28C76CF8"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F66" w:rsidRDefault="00CD4F66" w:rsidP="00D343D6"/>
  <w:p w:rsidR="00CD4F66" w:rsidRDefault="00F52521" w:rsidP="00D343D6">
    <w:r>
      <w:fldChar w:fldCharType="begin"/>
    </w:r>
    <w:r>
      <w:instrText xml:space="preserve"> PAGE   \* MERGEFORMAT </w:instrText>
    </w:r>
    <w:r>
      <w:fldChar w:fldCharType="separate"/>
    </w:r>
    <w:r>
      <w:rPr>
        <w:noProof/>
      </w:rPr>
      <w:t>2</w:t>
    </w:r>
    <w:r>
      <w:rPr>
        <w:noProof/>
      </w:rPr>
      <w:fldChar w:fldCharType="end"/>
    </w:r>
    <w:r>
      <w:t xml:space="preserve"> </w:t>
    </w:r>
    <w:r>
      <w:rPr>
        <w:color w:val="E68422" w:themeColor="accent3"/>
      </w:rPr>
      <w:sym w:font="Wingdings 2" w:char="F097"/>
    </w:r>
    <w:r>
      <w:t xml:space="preserve"> </w:t>
    </w:r>
  </w:p>
  <w:p w:rsidR="00CD4F66" w:rsidRDefault="00F52521" w:rsidP="00D343D6">
    <w:r>
      <w:rPr>
        <w:noProof/>
      </w:rPr>
      <mc:AlternateContent>
        <mc:Choice Requires="wpg">
          <w:drawing>
            <wp:inline distT="0" distB="0" distL="0" distR="0" wp14:anchorId="195AA9F5" wp14:editId="4636C98F">
              <wp:extent cx="2327910" cy="45085"/>
              <wp:effectExtent l="9525" t="9525" r="15240" b="1206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4"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E30051" id="Grou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" strokecolor="#438086" strokeweight="1.5pt"/>
              <v:shape id="AutoShape 6" o:spid="_x0000_s1028"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" strokecolor="#438086" strokeweight=".25pt"/>
              <w10:anchorlock/>
            </v:group>
          </w:pict>
        </mc:Fallback>
      </mc:AlternateContent>
    </w:r>
  </w:p>
  <w:p w:rsidR="00CD4F66" w:rsidRDefault="00CD4F66">
    <w:pPr>
      <w:pStyle w:val="NoSpacing"/>
      <w:rPr>
        <w:sz w:val="2"/>
        <w:szCs w:val="2"/>
      </w:rPr>
    </w:pPr>
  </w:p>
  <w:p w:rsidR="00CD4F66" w:rsidRDefault="00CD4F66" w:rsidP="00D343D6"/>
  <w:p w:rsidR="00CD4F66" w:rsidRDefault="00CD4F66" w:rsidP="00D343D6"/>
  <w:p w:rsidR="00CD4F66" w:rsidRDefault="00CD4F66" w:rsidP="00D343D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F66" w:rsidRPr="009E32A4" w:rsidRDefault="0033646D" w:rsidP="00D343D6">
    <w:pPr>
      <w:rPr>
        <w:color w:val="2B5763"/>
      </w:rPr>
    </w:pPr>
    <w:r w:rsidRPr="00A87003">
      <w:rPr>
        <w:rFonts w:ascii="Segoe UI" w:hAnsi="Segoe UI" w:cs="Segoe UI"/>
        <w:noProof/>
        <w:color w:val="19556A"/>
        <w:sz w:val="20"/>
        <w:szCs w:val="20"/>
      </w:rPr>
      <mc:AlternateContent>
        <mc:Choice Requires="wps">
          <w:drawing>
            <wp:anchor distT="0" distB="0" distL="114300" distR="114300" simplePos="0" relativeHeight="251662336" behindDoc="0" locked="0" layoutInCell="1" allowOverlap="1" wp14:anchorId="3D1B0597" wp14:editId="50B2355D">
              <wp:simplePos x="0" y="0"/>
              <wp:positionH relativeFrom="column">
                <wp:posOffset>24205</wp:posOffset>
              </wp:positionH>
              <wp:positionV relativeFrom="paragraph">
                <wp:posOffset>-178211</wp:posOffset>
              </wp:positionV>
              <wp:extent cx="6432662"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6432662" cy="0"/>
                      </a:xfrm>
                      <a:prstGeom prst="line">
                        <a:avLst/>
                      </a:prstGeom>
                      <a:noFill/>
                      <a:ln w="9525" cap="flat" cmpd="sng" algn="ctr">
                        <a:solidFill>
                          <a:srgbClr val="2B5763"/>
                        </a:solidFill>
                        <a:prstDash val="solid"/>
                      </a:ln>
                      <a:effectLst/>
                    </wps:spPr>
                    <wps:bodyPr/>
                  </wps:wsp>
                </a:graphicData>
              </a:graphic>
              <wp14:sizeRelH relativeFrom="margin">
                <wp14:pctWidth>0</wp14:pctWidth>
              </wp14:sizeRelH>
            </wp:anchor>
          </w:drawing>
        </mc:Choice>
        <mc:Fallback>
          <w:pict>
            <v:line w14:anchorId="01BCD1FD"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14.05pt" to="508.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" strokecolor="#2b5763"/>
          </w:pict>
        </mc:Fallback>
      </mc:AlternateContent>
    </w:r>
    <w:r w:rsidR="009E32A4" w:rsidRPr="00A87003">
      <w:rPr>
        <w:color w:val="19556A"/>
      </w:rPr>
      <w:t>www.roundtablewealth.com</w:t>
    </w:r>
    <w:r w:rsidR="009E32A4" w:rsidRPr="00A87003">
      <w:rPr>
        <w:color w:val="19556A"/>
      </w:rPr>
      <w:ptab w:relativeTo="margin" w:alignment="center" w:leader="none"/>
    </w:r>
    <w:r w:rsidR="009E32A4" w:rsidRPr="00A87003">
      <w:rPr>
        <w:color w:val="19556A"/>
      </w:rPr>
      <w:ptab w:relativeTo="margin" w:alignment="right" w:leader="none"/>
    </w:r>
    <w:r w:rsidR="009E32A4" w:rsidRPr="00A87003">
      <w:rPr>
        <w:color w:val="19556A"/>
      </w:rPr>
      <w:t xml:space="preserve">Page </w:t>
    </w:r>
    <w:r w:rsidR="009E32A4" w:rsidRPr="009E32A4">
      <w:rPr>
        <w:color w:val="2B5763"/>
      </w:rPr>
      <w:t xml:space="preserve">| </w:t>
    </w:r>
    <w:r w:rsidR="009E32A4" w:rsidRPr="009E32A4">
      <w:rPr>
        <w:color w:val="2B5763"/>
      </w:rPr>
      <w:fldChar w:fldCharType="begin"/>
    </w:r>
    <w:r w:rsidR="009E32A4" w:rsidRPr="009E32A4">
      <w:rPr>
        <w:color w:val="2B5763"/>
      </w:rPr>
      <w:instrText xml:space="preserve"> PAGE   \* MERGEFORMAT </w:instrText>
    </w:r>
    <w:r w:rsidR="009E32A4" w:rsidRPr="009E32A4">
      <w:rPr>
        <w:color w:val="2B5763"/>
      </w:rPr>
      <w:fldChar w:fldCharType="separate"/>
    </w:r>
    <w:r w:rsidR="001A35F8" w:rsidRPr="001A35F8">
      <w:rPr>
        <w:noProof/>
      </w:rPr>
      <w:t>2</w:t>
    </w:r>
    <w:r w:rsidR="009E32A4" w:rsidRPr="009E32A4">
      <w:rPr>
        <w:noProof/>
        <w:color w:val="2B576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A13" w:rsidRDefault="003F2A13" w:rsidP="00DD03C8">
    <w:pPr>
      <w:pStyle w:val="Footer"/>
      <w:jc w:val="center"/>
    </w:pPr>
    <w:r w:rsidRPr="00C62C27">
      <w:rPr>
        <w:rFonts w:ascii="Segoe UI" w:hAnsi="Segoe UI" w:cs="Segoe UI"/>
        <w:noProof/>
        <w:sz w:val="20"/>
        <w:szCs w:val="20"/>
      </w:rPr>
      <mc:AlternateContent>
        <mc:Choice Requires="wps">
          <w:drawing>
            <wp:anchor distT="0" distB="0" distL="114300" distR="114300" simplePos="0" relativeHeight="251666432" behindDoc="0" locked="0" layoutInCell="1" allowOverlap="1" wp14:anchorId="5D54A669" wp14:editId="1380E197">
              <wp:simplePos x="0" y="0"/>
              <wp:positionH relativeFrom="column">
                <wp:posOffset>-156696</wp:posOffset>
              </wp:positionH>
              <wp:positionV relativeFrom="paragraph">
                <wp:posOffset>-278467</wp:posOffset>
              </wp:positionV>
              <wp:extent cx="6723044" cy="0"/>
              <wp:effectExtent l="0" t="0" r="20955" b="19050"/>
              <wp:wrapNone/>
              <wp:docPr id="4" name="Straight Connector 4"/>
              <wp:cNvGraphicFramePr/>
              <a:graphic xmlns:a="http://schemas.openxmlformats.org/drawingml/2006/main">
                <a:graphicData uri="http://schemas.microsoft.com/office/word/2010/wordprocessingShape">
                  <wps:wsp>
                    <wps:cNvCnPr/>
                    <wps:spPr>
                      <a:xfrm>
                        <a:off x="0" y="0"/>
                        <a:ext cx="6723044" cy="0"/>
                      </a:xfrm>
                      <a:prstGeom prst="line">
                        <a:avLst/>
                      </a:prstGeom>
                      <a:noFill/>
                      <a:ln w="9525" cap="flat" cmpd="sng" algn="ctr">
                        <a:solidFill>
                          <a:srgbClr val="2B5763"/>
                        </a:solidFill>
                        <a:prstDash val="solid"/>
                      </a:ln>
                      <a:effectLst/>
                    </wps:spPr>
                    <wps:bodyPr/>
                  </wps:wsp>
                </a:graphicData>
              </a:graphic>
              <wp14:sizeRelH relativeFrom="margin">
                <wp14:pctWidth>0</wp14:pctWidth>
              </wp14:sizeRelH>
            </wp:anchor>
          </w:drawing>
        </mc:Choice>
        <mc:Fallback>
          <w:pict>
            <v:line w14:anchorId="5BE0977D" id="Straight Connector 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35pt,-21.95pt" to="517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" strokecolor="#2b5763"/>
          </w:pict>
        </mc:Fallback>
      </mc:AlternateContent>
    </w:r>
    <w:r w:rsidR="00934D80">
      <w:t>September</w:t>
    </w:r>
    <w:r w:rsidR="00495E42">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2A7" w:rsidRDefault="005D62A7" w:rsidP="00D343D6">
      <w:r>
        <w:separator/>
      </w:r>
    </w:p>
  </w:footnote>
  <w:footnote w:type="continuationSeparator" w:id="0">
    <w:p w:rsidR="005D62A7" w:rsidRDefault="005D62A7" w:rsidP="00D343D6">
      <w:r>
        <w:continuationSeparator/>
      </w:r>
    </w:p>
  </w:footnote>
  <w:footnote w:id="1">
    <w:p w:rsidR="00D80CA7" w:rsidRDefault="00D80CA7" w:rsidP="00D80CA7">
      <w:pPr>
        <w:pStyle w:val="FootnoteText"/>
      </w:pPr>
      <w:r>
        <w:rPr>
          <w:rStyle w:val="FootnoteReference"/>
        </w:rPr>
        <w:footnoteRef/>
      </w:r>
      <w:r w:rsidRPr="00F726AD">
        <w:rPr>
          <w:sz w:val="16"/>
          <w:szCs w:val="16"/>
        </w:rPr>
        <w:t xml:space="preserve"> Investment Company Institute, Bloomberg</w:t>
      </w:r>
    </w:p>
  </w:footnote>
  <w:footnote w:id="2">
    <w:p w:rsidR="00D80CA7" w:rsidRDefault="00D80CA7" w:rsidP="00D80CA7">
      <w:pPr>
        <w:pStyle w:val="FootnoteText"/>
      </w:pPr>
      <w:r>
        <w:rPr>
          <w:rStyle w:val="FootnoteReference"/>
        </w:rPr>
        <w:footnoteRef/>
      </w:r>
      <w:r>
        <w:t xml:space="preserve"> </w:t>
      </w:r>
      <w:r w:rsidRPr="00F726AD">
        <w:rPr>
          <w:sz w:val="16"/>
          <w:szCs w:val="16"/>
        </w:rPr>
        <w:t>Estimated using data sourced from Bloomberg</w:t>
      </w:r>
    </w:p>
  </w:footnote>
  <w:footnote w:id="3">
    <w:p w:rsidR="00F611EC" w:rsidRDefault="00F611EC">
      <w:pPr>
        <w:pStyle w:val="FootnoteText"/>
      </w:pPr>
      <w:r>
        <w:rPr>
          <w:rStyle w:val="FootnoteReference"/>
        </w:rPr>
        <w:footnoteRef/>
      </w:r>
      <w:r>
        <w:t xml:space="preserve"> </w:t>
      </w:r>
      <w:r w:rsidRPr="00F726AD">
        <w:rPr>
          <w:sz w:val="16"/>
          <w:szCs w:val="16"/>
        </w:rPr>
        <w:t>Kashner, Elisabeth. "Low Innovation, High Consolidation Mark ETFs in 2016." FactSet Insight</w:t>
      </w:r>
      <w:r w:rsidR="00F041D7" w:rsidRPr="00F726AD">
        <w:rPr>
          <w:sz w:val="16"/>
          <w:szCs w:val="16"/>
        </w:rPr>
        <w:t>, 19 Dec.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545" w:rsidRDefault="005A0545" w:rsidP="00E509EF">
    <w:pPr>
      <w:jc w:val="center"/>
    </w:pPr>
    <w:r>
      <w:rPr>
        <w:noProof/>
      </w:rPr>
      <w:drawing>
        <wp:anchor distT="0" distB="0" distL="114300" distR="114300" simplePos="0" relativeHeight="251658240" behindDoc="1" locked="0" layoutInCell="1" allowOverlap="1" wp14:anchorId="40ABD705" wp14:editId="1B64A00D">
          <wp:simplePos x="0" y="0"/>
          <wp:positionH relativeFrom="column">
            <wp:posOffset>3014345</wp:posOffset>
          </wp:positionH>
          <wp:positionV relativeFrom="paragraph">
            <wp:posOffset>0</wp:posOffset>
          </wp:positionV>
          <wp:extent cx="354965" cy="320040"/>
          <wp:effectExtent l="0" t="0" r="6985" b="3810"/>
          <wp:wrapTight wrapText="bothSides">
            <wp:wrapPolygon edited="0">
              <wp:start x="0" y="0"/>
              <wp:lineTo x="0" y="20571"/>
              <wp:lineTo x="20866" y="20571"/>
              <wp:lineTo x="20866" y="0"/>
              <wp:lineTo x="0" y="0"/>
            </wp:wrapPolygon>
          </wp:wrapTight>
          <wp:docPr id="11" name="Picture 11" descr="Q:\Sales &amp; Marketing\Branding Project\RTWM Logos\RoundTable_SmlStar_Linked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Sales &amp; Marketing\Branding Project\RTWM Logos\RoundTable_SmlStar_Linked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965" cy="320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4F66" w:rsidRPr="009E32A4" w:rsidRDefault="0033646D" w:rsidP="00E509EF">
    <w:pPr>
      <w:jc w:val="center"/>
      <w:rPr>
        <w:smallCaps/>
        <w:color w:val="2B5763"/>
      </w:rPr>
    </w:pPr>
    <w:r w:rsidRPr="00E522F3">
      <w:rPr>
        <w:rFonts w:ascii="Segoe UI" w:hAnsi="Segoe UI" w:cs="Segoe UI"/>
        <w:noProof/>
        <w:color w:val="19556A"/>
        <w:sz w:val="20"/>
        <w:szCs w:val="20"/>
      </w:rPr>
      <mc:AlternateContent>
        <mc:Choice Requires="wps">
          <w:drawing>
            <wp:anchor distT="0" distB="0" distL="114300" distR="114300" simplePos="0" relativeHeight="251660288" behindDoc="0" locked="0" layoutInCell="1" allowOverlap="1" wp14:anchorId="7E5CE644" wp14:editId="4CFAACD9">
              <wp:simplePos x="0" y="0"/>
              <wp:positionH relativeFrom="column">
                <wp:posOffset>24205</wp:posOffset>
              </wp:positionH>
              <wp:positionV relativeFrom="paragraph">
                <wp:posOffset>289299</wp:posOffset>
              </wp:positionV>
              <wp:extent cx="6465084" cy="0"/>
              <wp:effectExtent l="0" t="0" r="12065" b="19050"/>
              <wp:wrapNone/>
              <wp:docPr id="41" name="Straight Connector 41"/>
              <wp:cNvGraphicFramePr/>
              <a:graphic xmlns:a="http://schemas.openxmlformats.org/drawingml/2006/main">
                <a:graphicData uri="http://schemas.microsoft.com/office/word/2010/wordprocessingShape">
                  <wps:wsp>
                    <wps:cNvCnPr/>
                    <wps:spPr>
                      <a:xfrm>
                        <a:off x="0" y="0"/>
                        <a:ext cx="6465084" cy="0"/>
                      </a:xfrm>
                      <a:prstGeom prst="line">
                        <a:avLst/>
                      </a:prstGeom>
                      <a:ln>
                        <a:solidFill>
                          <a:srgbClr val="2B57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A8C4DF" id="Straight Connector 4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22.8pt" to="510.9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" strokecolor="#2b5763"/>
          </w:pict>
        </mc:Fallback>
      </mc:AlternateContent>
    </w:r>
    <w:r w:rsidR="005A42EC">
      <w:rPr>
        <w:smallCaps/>
        <w:color w:val="19556A"/>
      </w:rPr>
      <w:t>Just a [TIKR]: The Shortfalls of ETF Investing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9BB" w:rsidRDefault="0033646D" w:rsidP="006E79BB">
    <w:pPr>
      <w:pStyle w:val="Header"/>
      <w:tabs>
        <w:tab w:val="clear" w:pos="4320"/>
        <w:tab w:val="clear" w:pos="8640"/>
      </w:tabs>
      <w:jc w:val="center"/>
    </w:pPr>
    <w:r w:rsidRPr="00C62C27">
      <w:rPr>
        <w:rFonts w:ascii="Segoe UI" w:hAnsi="Segoe UI" w:cs="Segoe UI"/>
        <w:noProof/>
        <w:sz w:val="20"/>
        <w:szCs w:val="20"/>
      </w:rPr>
      <mc:AlternateContent>
        <mc:Choice Requires="wps">
          <w:drawing>
            <wp:anchor distT="0" distB="0" distL="114300" distR="114300" simplePos="0" relativeHeight="251664384" behindDoc="0" locked="0" layoutInCell="1" allowOverlap="1" wp14:anchorId="357C565D" wp14:editId="7E0A0D51">
              <wp:simplePos x="0" y="0"/>
              <wp:positionH relativeFrom="column">
                <wp:posOffset>-83185</wp:posOffset>
              </wp:positionH>
              <wp:positionV relativeFrom="paragraph">
                <wp:posOffset>838610</wp:posOffset>
              </wp:positionV>
              <wp:extent cx="6723044" cy="0"/>
              <wp:effectExtent l="0" t="0" r="20955" b="19050"/>
              <wp:wrapNone/>
              <wp:docPr id="9" name="Straight Connector 9"/>
              <wp:cNvGraphicFramePr/>
              <a:graphic xmlns:a="http://schemas.openxmlformats.org/drawingml/2006/main">
                <a:graphicData uri="http://schemas.microsoft.com/office/word/2010/wordprocessingShape">
                  <wps:wsp>
                    <wps:cNvCnPr/>
                    <wps:spPr>
                      <a:xfrm>
                        <a:off x="0" y="0"/>
                        <a:ext cx="6723044" cy="0"/>
                      </a:xfrm>
                      <a:prstGeom prst="line">
                        <a:avLst/>
                      </a:prstGeom>
                      <a:noFill/>
                      <a:ln w="9525" cap="flat" cmpd="sng" algn="ctr">
                        <a:solidFill>
                          <a:srgbClr val="2B5763"/>
                        </a:solidFill>
                        <a:prstDash val="solid"/>
                      </a:ln>
                      <a:effectLst/>
                    </wps:spPr>
                    <wps:bodyPr/>
                  </wps:wsp>
                </a:graphicData>
              </a:graphic>
              <wp14:sizeRelH relativeFrom="margin">
                <wp14:pctWidth>0</wp14:pctWidth>
              </wp14:sizeRelH>
            </wp:anchor>
          </w:drawing>
        </mc:Choice>
        <mc:Fallback>
          <w:pict>
            <v:line w14:anchorId="6534F225" id="Straight Connector 9"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5pt,66.05pt" to="522.8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" strokecolor="#2b5763"/>
          </w:pict>
        </mc:Fallback>
      </mc:AlternateContent>
    </w:r>
    <w:r w:rsidR="006E79BB">
      <w:rPr>
        <w:noProof/>
      </w:rPr>
      <w:drawing>
        <wp:inline distT="0" distB="0" distL="0" distR="0" wp14:anchorId="62ADCCF7" wp14:editId="409D1931">
          <wp:extent cx="1619531" cy="7315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ndTable_Logo_JPG_Small.jpg"/>
                  <pic:cNvPicPr/>
                </pic:nvPicPr>
                <pic:blipFill>
                  <a:blip r:embed="rId1">
                    <a:extLst>
                      <a:ext uri="{28A0092B-C50C-407E-A947-70E740481C1C}">
                        <a14:useLocalDpi xmlns:a14="http://schemas.microsoft.com/office/drawing/2010/main" val="0"/>
                      </a:ext>
                    </a:extLst>
                  </a:blip>
                  <a:stretch>
                    <a:fillRect/>
                  </a:stretch>
                </pic:blipFill>
                <pic:spPr>
                  <a:xfrm>
                    <a:off x="0" y="0"/>
                    <a:ext cx="1626946" cy="7348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B6AFC"/>
    <w:multiLevelType w:val="hybridMultilevel"/>
    <w:tmpl w:val="E3861362"/>
    <w:lvl w:ilvl="0" w:tplc="EC946D42">
      <w:numFmt w:val="bullet"/>
      <w:lvlText w:val="-"/>
      <w:lvlJc w:val="left"/>
      <w:pPr>
        <w:ind w:left="1080" w:hanging="360"/>
      </w:pPr>
      <w:rPr>
        <w:rFonts w:ascii="PT Serif" w:eastAsiaTheme="minorEastAsia" w:hAnsi="PT Serif"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D955C1E"/>
    <w:multiLevelType w:val="hybridMultilevel"/>
    <w:tmpl w:val="8CF402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2A7"/>
    <w:rsid w:val="000023E6"/>
    <w:rsid w:val="00004CAD"/>
    <w:rsid w:val="00017398"/>
    <w:rsid w:val="00026979"/>
    <w:rsid w:val="00030959"/>
    <w:rsid w:val="00034632"/>
    <w:rsid w:val="0003533B"/>
    <w:rsid w:val="00035AAF"/>
    <w:rsid w:val="000516B0"/>
    <w:rsid w:val="0005338C"/>
    <w:rsid w:val="00053E3E"/>
    <w:rsid w:val="00061975"/>
    <w:rsid w:val="000746F9"/>
    <w:rsid w:val="00077578"/>
    <w:rsid w:val="000943F6"/>
    <w:rsid w:val="00096DE4"/>
    <w:rsid w:val="000A01E3"/>
    <w:rsid w:val="000A0AFB"/>
    <w:rsid w:val="000A1899"/>
    <w:rsid w:val="000A3CAD"/>
    <w:rsid w:val="000B0AF6"/>
    <w:rsid w:val="000B24D4"/>
    <w:rsid w:val="000C07A1"/>
    <w:rsid w:val="000E2290"/>
    <w:rsid w:val="000E247D"/>
    <w:rsid w:val="001008EB"/>
    <w:rsid w:val="001009C1"/>
    <w:rsid w:val="001204B6"/>
    <w:rsid w:val="001252A8"/>
    <w:rsid w:val="00125537"/>
    <w:rsid w:val="001267E2"/>
    <w:rsid w:val="001538AA"/>
    <w:rsid w:val="001562EA"/>
    <w:rsid w:val="001651AB"/>
    <w:rsid w:val="00170A8F"/>
    <w:rsid w:val="0019315D"/>
    <w:rsid w:val="001A1C86"/>
    <w:rsid w:val="001A35F8"/>
    <w:rsid w:val="001A38ED"/>
    <w:rsid w:val="001B10E1"/>
    <w:rsid w:val="001B4F64"/>
    <w:rsid w:val="001C189A"/>
    <w:rsid w:val="001C2088"/>
    <w:rsid w:val="001C33F8"/>
    <w:rsid w:val="001D03A5"/>
    <w:rsid w:val="001D3E9D"/>
    <w:rsid w:val="001D7FE6"/>
    <w:rsid w:val="001E011C"/>
    <w:rsid w:val="001E102A"/>
    <w:rsid w:val="001E32D3"/>
    <w:rsid w:val="001E6280"/>
    <w:rsid w:val="002037F5"/>
    <w:rsid w:val="00210F9E"/>
    <w:rsid w:val="002142F3"/>
    <w:rsid w:val="0022299E"/>
    <w:rsid w:val="0023693D"/>
    <w:rsid w:val="00266C8B"/>
    <w:rsid w:val="00280C74"/>
    <w:rsid w:val="00286EB5"/>
    <w:rsid w:val="00297BF7"/>
    <w:rsid w:val="002A29C3"/>
    <w:rsid w:val="002A5497"/>
    <w:rsid w:val="002B6B40"/>
    <w:rsid w:val="002C22D7"/>
    <w:rsid w:val="002C4D0E"/>
    <w:rsid w:val="002D3F88"/>
    <w:rsid w:val="002F19A1"/>
    <w:rsid w:val="002F7AD5"/>
    <w:rsid w:val="002F7B06"/>
    <w:rsid w:val="00313A12"/>
    <w:rsid w:val="003245F4"/>
    <w:rsid w:val="00332683"/>
    <w:rsid w:val="0033646D"/>
    <w:rsid w:val="0034471F"/>
    <w:rsid w:val="00345DCC"/>
    <w:rsid w:val="00366A78"/>
    <w:rsid w:val="003736C7"/>
    <w:rsid w:val="00377F94"/>
    <w:rsid w:val="00381BE3"/>
    <w:rsid w:val="003A332F"/>
    <w:rsid w:val="003A57A0"/>
    <w:rsid w:val="003E6D47"/>
    <w:rsid w:val="003F24D6"/>
    <w:rsid w:val="003F2A13"/>
    <w:rsid w:val="003F6A93"/>
    <w:rsid w:val="00410094"/>
    <w:rsid w:val="00412526"/>
    <w:rsid w:val="0041527B"/>
    <w:rsid w:val="00421828"/>
    <w:rsid w:val="00435F38"/>
    <w:rsid w:val="00440E4C"/>
    <w:rsid w:val="00442B51"/>
    <w:rsid w:val="00446705"/>
    <w:rsid w:val="004501D4"/>
    <w:rsid w:val="00472042"/>
    <w:rsid w:val="004807C6"/>
    <w:rsid w:val="00494012"/>
    <w:rsid w:val="00495E42"/>
    <w:rsid w:val="004A65F5"/>
    <w:rsid w:val="004B105D"/>
    <w:rsid w:val="004C7220"/>
    <w:rsid w:val="004D4DB3"/>
    <w:rsid w:val="004E4FA7"/>
    <w:rsid w:val="004F340B"/>
    <w:rsid w:val="004F3464"/>
    <w:rsid w:val="004F6629"/>
    <w:rsid w:val="005005B7"/>
    <w:rsid w:val="00507232"/>
    <w:rsid w:val="005103D6"/>
    <w:rsid w:val="005157AD"/>
    <w:rsid w:val="00516DEC"/>
    <w:rsid w:val="00521029"/>
    <w:rsid w:val="00522BEF"/>
    <w:rsid w:val="00526933"/>
    <w:rsid w:val="005274A2"/>
    <w:rsid w:val="00537C4A"/>
    <w:rsid w:val="00546CDE"/>
    <w:rsid w:val="0054713E"/>
    <w:rsid w:val="00556579"/>
    <w:rsid w:val="005675D4"/>
    <w:rsid w:val="0057179C"/>
    <w:rsid w:val="005776A4"/>
    <w:rsid w:val="0058426E"/>
    <w:rsid w:val="0058670C"/>
    <w:rsid w:val="005A0545"/>
    <w:rsid w:val="005A42EC"/>
    <w:rsid w:val="005B404E"/>
    <w:rsid w:val="005C3DCA"/>
    <w:rsid w:val="005C6D73"/>
    <w:rsid w:val="005D0DA2"/>
    <w:rsid w:val="005D62A7"/>
    <w:rsid w:val="005D7811"/>
    <w:rsid w:val="005E6E19"/>
    <w:rsid w:val="005F187C"/>
    <w:rsid w:val="005F2066"/>
    <w:rsid w:val="005F7C2E"/>
    <w:rsid w:val="00600F82"/>
    <w:rsid w:val="00603CAD"/>
    <w:rsid w:val="00604836"/>
    <w:rsid w:val="00616952"/>
    <w:rsid w:val="00617456"/>
    <w:rsid w:val="00633822"/>
    <w:rsid w:val="00636988"/>
    <w:rsid w:val="006450F6"/>
    <w:rsid w:val="00654357"/>
    <w:rsid w:val="00670166"/>
    <w:rsid w:val="006841FA"/>
    <w:rsid w:val="0069110D"/>
    <w:rsid w:val="00697286"/>
    <w:rsid w:val="006A2AEF"/>
    <w:rsid w:val="006B4083"/>
    <w:rsid w:val="006C372C"/>
    <w:rsid w:val="006D09B4"/>
    <w:rsid w:val="006D4E1E"/>
    <w:rsid w:val="006E151A"/>
    <w:rsid w:val="006E359A"/>
    <w:rsid w:val="006E79BB"/>
    <w:rsid w:val="006F217F"/>
    <w:rsid w:val="007002BD"/>
    <w:rsid w:val="007009EB"/>
    <w:rsid w:val="007038CE"/>
    <w:rsid w:val="00705AFD"/>
    <w:rsid w:val="007131C9"/>
    <w:rsid w:val="007314BF"/>
    <w:rsid w:val="00736CAA"/>
    <w:rsid w:val="00745FA9"/>
    <w:rsid w:val="007529A4"/>
    <w:rsid w:val="00754654"/>
    <w:rsid w:val="00761E16"/>
    <w:rsid w:val="0076770B"/>
    <w:rsid w:val="00771CBB"/>
    <w:rsid w:val="00781934"/>
    <w:rsid w:val="00790954"/>
    <w:rsid w:val="007923F0"/>
    <w:rsid w:val="007B6227"/>
    <w:rsid w:val="007C4AB6"/>
    <w:rsid w:val="007D22B8"/>
    <w:rsid w:val="007F3BAB"/>
    <w:rsid w:val="00803CE5"/>
    <w:rsid w:val="0080772E"/>
    <w:rsid w:val="00807AA8"/>
    <w:rsid w:val="00831E0F"/>
    <w:rsid w:val="00833A9F"/>
    <w:rsid w:val="008515DC"/>
    <w:rsid w:val="00860016"/>
    <w:rsid w:val="00872BAF"/>
    <w:rsid w:val="0087318F"/>
    <w:rsid w:val="00874198"/>
    <w:rsid w:val="00892826"/>
    <w:rsid w:val="008A130B"/>
    <w:rsid w:val="008B5FC2"/>
    <w:rsid w:val="008C3466"/>
    <w:rsid w:val="008C4868"/>
    <w:rsid w:val="008E59A7"/>
    <w:rsid w:val="008F071B"/>
    <w:rsid w:val="009031C7"/>
    <w:rsid w:val="009033B7"/>
    <w:rsid w:val="00904355"/>
    <w:rsid w:val="00910CA1"/>
    <w:rsid w:val="00915BB8"/>
    <w:rsid w:val="00917CBF"/>
    <w:rsid w:val="00927FC9"/>
    <w:rsid w:val="0093036F"/>
    <w:rsid w:val="00934998"/>
    <w:rsid w:val="00934D80"/>
    <w:rsid w:val="0094356A"/>
    <w:rsid w:val="0095075D"/>
    <w:rsid w:val="009528C2"/>
    <w:rsid w:val="0095495B"/>
    <w:rsid w:val="00957D57"/>
    <w:rsid w:val="0096002C"/>
    <w:rsid w:val="0096546A"/>
    <w:rsid w:val="00995E63"/>
    <w:rsid w:val="009979B3"/>
    <w:rsid w:val="009B50FE"/>
    <w:rsid w:val="009B5DF3"/>
    <w:rsid w:val="009C03BB"/>
    <w:rsid w:val="009C5F03"/>
    <w:rsid w:val="009E32A4"/>
    <w:rsid w:val="009F3F92"/>
    <w:rsid w:val="009F4264"/>
    <w:rsid w:val="00A07F94"/>
    <w:rsid w:val="00A41156"/>
    <w:rsid w:val="00A564F3"/>
    <w:rsid w:val="00A60FE6"/>
    <w:rsid w:val="00A62439"/>
    <w:rsid w:val="00A64151"/>
    <w:rsid w:val="00A71D11"/>
    <w:rsid w:val="00A8566E"/>
    <w:rsid w:val="00A85900"/>
    <w:rsid w:val="00A87003"/>
    <w:rsid w:val="00A91070"/>
    <w:rsid w:val="00A95125"/>
    <w:rsid w:val="00A95BD3"/>
    <w:rsid w:val="00AB3578"/>
    <w:rsid w:val="00AC5EBF"/>
    <w:rsid w:val="00AC6E73"/>
    <w:rsid w:val="00AC7CEC"/>
    <w:rsid w:val="00AD2ECF"/>
    <w:rsid w:val="00AF3B4D"/>
    <w:rsid w:val="00AF4DC7"/>
    <w:rsid w:val="00B03249"/>
    <w:rsid w:val="00B12326"/>
    <w:rsid w:val="00B25180"/>
    <w:rsid w:val="00B27423"/>
    <w:rsid w:val="00B30133"/>
    <w:rsid w:val="00B33501"/>
    <w:rsid w:val="00B33992"/>
    <w:rsid w:val="00B36B76"/>
    <w:rsid w:val="00B411BA"/>
    <w:rsid w:val="00B65778"/>
    <w:rsid w:val="00B824CA"/>
    <w:rsid w:val="00B92C52"/>
    <w:rsid w:val="00BA1AFA"/>
    <w:rsid w:val="00BB0CE3"/>
    <w:rsid w:val="00BB1A94"/>
    <w:rsid w:val="00BB55E4"/>
    <w:rsid w:val="00BC013B"/>
    <w:rsid w:val="00BE6A35"/>
    <w:rsid w:val="00BF34CD"/>
    <w:rsid w:val="00BF63BD"/>
    <w:rsid w:val="00BF796B"/>
    <w:rsid w:val="00C00539"/>
    <w:rsid w:val="00C02BBA"/>
    <w:rsid w:val="00C04E7B"/>
    <w:rsid w:val="00C06FF3"/>
    <w:rsid w:val="00C07EF5"/>
    <w:rsid w:val="00C34CDF"/>
    <w:rsid w:val="00C404D7"/>
    <w:rsid w:val="00C431BA"/>
    <w:rsid w:val="00C43205"/>
    <w:rsid w:val="00C47865"/>
    <w:rsid w:val="00C50463"/>
    <w:rsid w:val="00C902B9"/>
    <w:rsid w:val="00C91A60"/>
    <w:rsid w:val="00C947BE"/>
    <w:rsid w:val="00C94E41"/>
    <w:rsid w:val="00CA024F"/>
    <w:rsid w:val="00CA4379"/>
    <w:rsid w:val="00CA73A3"/>
    <w:rsid w:val="00CB2329"/>
    <w:rsid w:val="00CC0C93"/>
    <w:rsid w:val="00CC55B8"/>
    <w:rsid w:val="00CD4CBC"/>
    <w:rsid w:val="00CD4E33"/>
    <w:rsid w:val="00CD4F66"/>
    <w:rsid w:val="00CF5128"/>
    <w:rsid w:val="00D02830"/>
    <w:rsid w:val="00D251C3"/>
    <w:rsid w:val="00D25882"/>
    <w:rsid w:val="00D343D6"/>
    <w:rsid w:val="00D36159"/>
    <w:rsid w:val="00D405AC"/>
    <w:rsid w:val="00D4283E"/>
    <w:rsid w:val="00D627DE"/>
    <w:rsid w:val="00D669A5"/>
    <w:rsid w:val="00D72DA6"/>
    <w:rsid w:val="00D80CA7"/>
    <w:rsid w:val="00D82015"/>
    <w:rsid w:val="00D84473"/>
    <w:rsid w:val="00D906B0"/>
    <w:rsid w:val="00D935C9"/>
    <w:rsid w:val="00D960E7"/>
    <w:rsid w:val="00DA69FF"/>
    <w:rsid w:val="00DA6D67"/>
    <w:rsid w:val="00DB12FB"/>
    <w:rsid w:val="00DB548C"/>
    <w:rsid w:val="00DC1421"/>
    <w:rsid w:val="00DD03C8"/>
    <w:rsid w:val="00DE703A"/>
    <w:rsid w:val="00DF2788"/>
    <w:rsid w:val="00DF3687"/>
    <w:rsid w:val="00E22C24"/>
    <w:rsid w:val="00E509EF"/>
    <w:rsid w:val="00E522F3"/>
    <w:rsid w:val="00E527CA"/>
    <w:rsid w:val="00E5567C"/>
    <w:rsid w:val="00E57EC2"/>
    <w:rsid w:val="00E6398A"/>
    <w:rsid w:val="00E72213"/>
    <w:rsid w:val="00E7338D"/>
    <w:rsid w:val="00E74FD2"/>
    <w:rsid w:val="00E86A99"/>
    <w:rsid w:val="00E913B9"/>
    <w:rsid w:val="00EA13BF"/>
    <w:rsid w:val="00EA3056"/>
    <w:rsid w:val="00EC00C7"/>
    <w:rsid w:val="00EC32A2"/>
    <w:rsid w:val="00ED58F6"/>
    <w:rsid w:val="00ED59B3"/>
    <w:rsid w:val="00ED5C80"/>
    <w:rsid w:val="00EE707D"/>
    <w:rsid w:val="00EF603F"/>
    <w:rsid w:val="00F02E04"/>
    <w:rsid w:val="00F03C19"/>
    <w:rsid w:val="00F041D7"/>
    <w:rsid w:val="00F06478"/>
    <w:rsid w:val="00F26931"/>
    <w:rsid w:val="00F34D60"/>
    <w:rsid w:val="00F34EF1"/>
    <w:rsid w:val="00F35580"/>
    <w:rsid w:val="00F4060B"/>
    <w:rsid w:val="00F4306F"/>
    <w:rsid w:val="00F43204"/>
    <w:rsid w:val="00F51069"/>
    <w:rsid w:val="00F52521"/>
    <w:rsid w:val="00F52DD4"/>
    <w:rsid w:val="00F57441"/>
    <w:rsid w:val="00F6035F"/>
    <w:rsid w:val="00F611EC"/>
    <w:rsid w:val="00F61663"/>
    <w:rsid w:val="00F726AD"/>
    <w:rsid w:val="00F84B31"/>
    <w:rsid w:val="00F91664"/>
    <w:rsid w:val="00F92525"/>
    <w:rsid w:val="00FA30CC"/>
    <w:rsid w:val="00FB2241"/>
    <w:rsid w:val="00FC6F1A"/>
    <w:rsid w:val="00FD2A7C"/>
    <w:rsid w:val="00FF1956"/>
    <w:rsid w:val="00FF2FA4"/>
    <w:rsid w:val="00FF6B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5A1B115"/>
  <w15:docId w15:val="{6DFF5182-BF38-4873-A472-1E302F4F2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4E1E"/>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Cs/>
      <w:i/>
      <w:color w:val="auto"/>
      <w:sz w:val="23"/>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auto"/>
      <w:spacing w:val="5"/>
      <w:kern w:val="28"/>
      <w:sz w:val="60"/>
      <w:szCs w:val="56"/>
      <w14:ligatures w14:val="standardContextual"/>
      <w14:cntxtAlt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auto"/>
      <w:spacing w:val="15"/>
      <w:sz w:val="24"/>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6076B4"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BE6A35"/>
    <w:rPr>
      <w:color w:val="3399FF" w:themeColor="hyperlink"/>
      <w:u w:val="single"/>
    </w:rPr>
  </w:style>
  <w:style w:type="table" w:styleId="TableGrid">
    <w:name w:val="Table Grid"/>
    <w:basedOn w:val="TableNormal"/>
    <w:uiPriority w:val="59"/>
    <w:rsid w:val="00F4060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4060B"/>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F4060B"/>
    <w:rPr>
      <w:rFonts w:eastAsiaTheme="minorHAnsi"/>
      <w:sz w:val="20"/>
      <w:szCs w:val="20"/>
    </w:rPr>
  </w:style>
  <w:style w:type="character" w:styleId="FootnoteReference">
    <w:name w:val="footnote reference"/>
    <w:basedOn w:val="DefaultParagraphFont"/>
    <w:uiPriority w:val="99"/>
    <w:semiHidden/>
    <w:unhideWhenUsed/>
    <w:rsid w:val="00F4060B"/>
    <w:rPr>
      <w:vertAlign w:val="superscript"/>
    </w:rPr>
  </w:style>
  <w:style w:type="paragraph" w:styleId="NormalWeb">
    <w:name w:val="Normal (Web)"/>
    <w:basedOn w:val="Normal"/>
    <w:uiPriority w:val="99"/>
    <w:semiHidden/>
    <w:unhideWhenUsed/>
    <w:rsid w:val="00F61663"/>
    <w:pPr>
      <w:spacing w:before="100" w:beforeAutospacing="1" w:after="100" w:afterAutospacing="1" w:line="240" w:lineRule="auto"/>
    </w:pPr>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F611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611EC"/>
    <w:rPr>
      <w:sz w:val="20"/>
      <w:szCs w:val="20"/>
    </w:rPr>
  </w:style>
  <w:style w:type="character" w:styleId="EndnoteReference">
    <w:name w:val="endnote reference"/>
    <w:basedOn w:val="DefaultParagraphFont"/>
    <w:uiPriority w:val="99"/>
    <w:semiHidden/>
    <w:unhideWhenUsed/>
    <w:rsid w:val="00F611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971968">
      <w:bodyDiv w:val="1"/>
      <w:marLeft w:val="0"/>
      <w:marRight w:val="0"/>
      <w:marTop w:val="0"/>
      <w:marBottom w:val="0"/>
      <w:divBdr>
        <w:top w:val="none" w:sz="0" w:space="0" w:color="auto"/>
        <w:left w:val="none" w:sz="0" w:space="0" w:color="auto"/>
        <w:bottom w:val="none" w:sz="0" w:space="0" w:color="auto"/>
        <w:right w:val="none" w:sz="0" w:space="0" w:color="auto"/>
      </w:divBdr>
    </w:div>
    <w:div w:id="1134297194">
      <w:bodyDiv w:val="1"/>
      <w:marLeft w:val="0"/>
      <w:marRight w:val="0"/>
      <w:marTop w:val="0"/>
      <w:marBottom w:val="0"/>
      <w:divBdr>
        <w:top w:val="none" w:sz="0" w:space="0" w:color="auto"/>
        <w:left w:val="none" w:sz="0" w:space="0" w:color="auto"/>
        <w:bottom w:val="none" w:sz="0" w:space="0" w:color="auto"/>
        <w:right w:val="none" w:sz="0" w:space="0" w:color="auto"/>
      </w:divBdr>
      <w:divsChild>
        <w:div w:id="1390494349">
          <w:marLeft w:val="0"/>
          <w:marRight w:val="0"/>
          <w:marTop w:val="0"/>
          <w:marBottom w:val="0"/>
          <w:divBdr>
            <w:top w:val="none" w:sz="0" w:space="0" w:color="auto"/>
            <w:left w:val="none" w:sz="0" w:space="0" w:color="auto"/>
            <w:bottom w:val="none" w:sz="0" w:space="0" w:color="auto"/>
            <w:right w:val="none" w:sz="0" w:space="0" w:color="auto"/>
          </w:divBdr>
          <w:divsChild>
            <w:div w:id="2108111448">
              <w:marLeft w:val="0"/>
              <w:marRight w:val="0"/>
              <w:marTop w:val="0"/>
              <w:marBottom w:val="0"/>
              <w:divBdr>
                <w:top w:val="none" w:sz="0" w:space="0" w:color="auto"/>
                <w:left w:val="none" w:sz="0" w:space="0" w:color="auto"/>
                <w:bottom w:val="none" w:sz="0" w:space="0" w:color="auto"/>
                <w:right w:val="none" w:sz="0" w:space="0" w:color="auto"/>
              </w:divBdr>
              <w:divsChild>
                <w:div w:id="1190266463">
                  <w:marLeft w:val="0"/>
                  <w:marRight w:val="0"/>
                  <w:marTop w:val="0"/>
                  <w:marBottom w:val="0"/>
                  <w:divBdr>
                    <w:top w:val="none" w:sz="0" w:space="0" w:color="auto"/>
                    <w:left w:val="none" w:sz="0" w:space="0" w:color="auto"/>
                    <w:bottom w:val="none" w:sz="0" w:space="0" w:color="auto"/>
                    <w:right w:val="none" w:sz="0" w:space="0" w:color="auto"/>
                  </w:divBdr>
                  <w:divsChild>
                    <w:div w:id="719981577">
                      <w:marLeft w:val="0"/>
                      <w:marRight w:val="0"/>
                      <w:marTop w:val="0"/>
                      <w:marBottom w:val="0"/>
                      <w:divBdr>
                        <w:top w:val="none" w:sz="0" w:space="0" w:color="auto"/>
                        <w:left w:val="none" w:sz="0" w:space="0" w:color="auto"/>
                        <w:bottom w:val="none" w:sz="0" w:space="0" w:color="auto"/>
                        <w:right w:val="none" w:sz="0" w:space="0" w:color="auto"/>
                      </w:divBdr>
                      <w:divsChild>
                        <w:div w:id="1745638604">
                          <w:marLeft w:val="0"/>
                          <w:marRight w:val="0"/>
                          <w:marTop w:val="0"/>
                          <w:marBottom w:val="0"/>
                          <w:divBdr>
                            <w:top w:val="none" w:sz="0" w:space="0" w:color="auto"/>
                            <w:left w:val="none" w:sz="0" w:space="0" w:color="auto"/>
                            <w:bottom w:val="none" w:sz="0" w:space="0" w:color="auto"/>
                            <w:right w:val="none" w:sz="0" w:space="0" w:color="auto"/>
                          </w:divBdr>
                          <w:divsChild>
                            <w:div w:id="723455738">
                              <w:marLeft w:val="0"/>
                              <w:marRight w:val="0"/>
                              <w:marTop w:val="0"/>
                              <w:marBottom w:val="0"/>
                              <w:divBdr>
                                <w:top w:val="none" w:sz="0" w:space="0" w:color="auto"/>
                                <w:left w:val="none" w:sz="0" w:space="0" w:color="auto"/>
                                <w:bottom w:val="none" w:sz="0" w:space="0" w:color="auto"/>
                                <w:right w:val="none" w:sz="0" w:space="0" w:color="auto"/>
                              </w:divBdr>
                            </w:div>
                            <w:div w:id="268632180">
                              <w:marLeft w:val="0"/>
                              <w:marRight w:val="0"/>
                              <w:marTop w:val="0"/>
                              <w:marBottom w:val="0"/>
                              <w:divBdr>
                                <w:top w:val="none" w:sz="0" w:space="0" w:color="auto"/>
                                <w:left w:val="none" w:sz="0" w:space="0" w:color="auto"/>
                                <w:bottom w:val="none" w:sz="0" w:space="0" w:color="auto"/>
                                <w:right w:val="none" w:sz="0" w:space="0" w:color="auto"/>
                              </w:divBdr>
                              <w:divsChild>
                                <w:div w:id="404226062">
                                  <w:marLeft w:val="0"/>
                                  <w:marRight w:val="0"/>
                                  <w:marTop w:val="0"/>
                                  <w:marBottom w:val="0"/>
                                  <w:divBdr>
                                    <w:top w:val="none" w:sz="0" w:space="0" w:color="auto"/>
                                    <w:left w:val="none" w:sz="0" w:space="0" w:color="auto"/>
                                    <w:bottom w:val="none" w:sz="0" w:space="0" w:color="auto"/>
                                    <w:right w:val="none" w:sz="0" w:space="0" w:color="auto"/>
                                  </w:divBdr>
                                  <w:divsChild>
                                    <w:div w:id="18725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892278">
      <w:bodyDiv w:val="1"/>
      <w:marLeft w:val="0"/>
      <w:marRight w:val="0"/>
      <w:marTop w:val="0"/>
      <w:marBottom w:val="0"/>
      <w:divBdr>
        <w:top w:val="none" w:sz="0" w:space="0" w:color="auto"/>
        <w:left w:val="none" w:sz="0" w:space="0" w:color="auto"/>
        <w:bottom w:val="none" w:sz="0" w:space="0" w:color="auto"/>
        <w:right w:val="none" w:sz="0" w:space="0" w:color="auto"/>
      </w:divBdr>
      <w:divsChild>
        <w:div w:id="163668">
          <w:marLeft w:val="0"/>
          <w:marRight w:val="0"/>
          <w:marTop w:val="0"/>
          <w:marBottom w:val="0"/>
          <w:divBdr>
            <w:top w:val="none" w:sz="0" w:space="0" w:color="auto"/>
            <w:left w:val="none" w:sz="0" w:space="0" w:color="auto"/>
            <w:bottom w:val="none" w:sz="0" w:space="0" w:color="auto"/>
            <w:right w:val="none" w:sz="0" w:space="0" w:color="auto"/>
          </w:divBdr>
          <w:divsChild>
            <w:div w:id="2141411094">
              <w:marLeft w:val="0"/>
              <w:marRight w:val="0"/>
              <w:marTop w:val="0"/>
              <w:marBottom w:val="0"/>
              <w:divBdr>
                <w:top w:val="none" w:sz="0" w:space="0" w:color="auto"/>
                <w:left w:val="none" w:sz="0" w:space="0" w:color="auto"/>
                <w:bottom w:val="none" w:sz="0" w:space="0" w:color="auto"/>
                <w:right w:val="none" w:sz="0" w:space="0" w:color="auto"/>
              </w:divBdr>
              <w:divsChild>
                <w:div w:id="1779174597">
                  <w:marLeft w:val="0"/>
                  <w:marRight w:val="0"/>
                  <w:marTop w:val="0"/>
                  <w:marBottom w:val="0"/>
                  <w:divBdr>
                    <w:top w:val="none" w:sz="0" w:space="0" w:color="auto"/>
                    <w:left w:val="none" w:sz="0" w:space="0" w:color="auto"/>
                    <w:bottom w:val="none" w:sz="0" w:space="0" w:color="auto"/>
                    <w:right w:val="none" w:sz="0" w:space="0" w:color="auto"/>
                  </w:divBdr>
                  <w:divsChild>
                    <w:div w:id="2051958884">
                      <w:marLeft w:val="0"/>
                      <w:marRight w:val="0"/>
                      <w:marTop w:val="0"/>
                      <w:marBottom w:val="0"/>
                      <w:divBdr>
                        <w:top w:val="none" w:sz="0" w:space="0" w:color="auto"/>
                        <w:left w:val="none" w:sz="0" w:space="0" w:color="auto"/>
                        <w:bottom w:val="none" w:sz="0" w:space="0" w:color="auto"/>
                        <w:right w:val="none" w:sz="0" w:space="0" w:color="auto"/>
                      </w:divBdr>
                      <w:divsChild>
                        <w:div w:id="405878597">
                          <w:marLeft w:val="0"/>
                          <w:marRight w:val="0"/>
                          <w:marTop w:val="0"/>
                          <w:marBottom w:val="0"/>
                          <w:divBdr>
                            <w:top w:val="none" w:sz="0" w:space="0" w:color="auto"/>
                            <w:left w:val="none" w:sz="0" w:space="0" w:color="auto"/>
                            <w:bottom w:val="none" w:sz="0" w:space="0" w:color="auto"/>
                            <w:right w:val="none" w:sz="0" w:space="0" w:color="auto"/>
                          </w:divBdr>
                          <w:divsChild>
                            <w:div w:id="384566391">
                              <w:marLeft w:val="0"/>
                              <w:marRight w:val="0"/>
                              <w:marTop w:val="0"/>
                              <w:marBottom w:val="0"/>
                              <w:divBdr>
                                <w:top w:val="none" w:sz="0" w:space="0" w:color="auto"/>
                                <w:left w:val="none" w:sz="0" w:space="0" w:color="auto"/>
                                <w:bottom w:val="none" w:sz="0" w:space="0" w:color="auto"/>
                                <w:right w:val="none" w:sz="0" w:space="0" w:color="auto"/>
                              </w:divBdr>
                            </w:div>
                            <w:div w:id="293364824">
                              <w:marLeft w:val="0"/>
                              <w:marRight w:val="0"/>
                              <w:marTop w:val="0"/>
                              <w:marBottom w:val="0"/>
                              <w:divBdr>
                                <w:top w:val="none" w:sz="0" w:space="0" w:color="auto"/>
                                <w:left w:val="none" w:sz="0" w:space="0" w:color="auto"/>
                                <w:bottom w:val="none" w:sz="0" w:space="0" w:color="auto"/>
                                <w:right w:val="none" w:sz="0" w:space="0" w:color="auto"/>
                              </w:divBdr>
                              <w:divsChild>
                                <w:div w:id="393234504">
                                  <w:marLeft w:val="0"/>
                                  <w:marRight w:val="0"/>
                                  <w:marTop w:val="0"/>
                                  <w:marBottom w:val="0"/>
                                  <w:divBdr>
                                    <w:top w:val="none" w:sz="0" w:space="0" w:color="auto"/>
                                    <w:left w:val="none" w:sz="0" w:space="0" w:color="auto"/>
                                    <w:bottom w:val="none" w:sz="0" w:space="0" w:color="auto"/>
                                    <w:right w:val="none" w:sz="0" w:space="0" w:color="auto"/>
                                  </w:divBdr>
                                  <w:divsChild>
                                    <w:div w:id="160499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oundtablewealth.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oundtablewealth.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0EE4A6453A41C493439DF336D9F5A3"/>
        <w:category>
          <w:name w:val="General"/>
          <w:gallery w:val="placeholder"/>
        </w:category>
        <w:types>
          <w:type w:val="bbPlcHdr"/>
        </w:types>
        <w:behaviors>
          <w:behavior w:val="content"/>
        </w:behaviors>
        <w:guid w:val="{5E271EC1-649C-41B4-ABBA-CF51CBAA7B05}"/>
      </w:docPartPr>
      <w:docPartBody>
        <w:p w:rsidR="009915E1" w:rsidRDefault="009915E1">
          <w:pPr>
            <w:pStyle w:val="AB0EE4A6453A41C493439DF336D9F5A3"/>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T Serif">
    <w:panose1 w:val="020A0603040505020204"/>
    <w:charset w:val="00"/>
    <w:family w:val="roman"/>
    <w:pitch w:val="variable"/>
    <w:sig w:usb0="A00002EF" w:usb1="5000204B" w:usb2="00000000" w:usb3="00000000" w:csb0="00000097" w:csb1="00000000"/>
  </w:font>
  <w:font w:name="HGSMinchoE">
    <w:altName w:val="Yu Gothic"/>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GGothicM">
    <w:charset w:val="80"/>
    <w:family w:val="modern"/>
    <w:pitch w:val="fixed"/>
    <w:sig w:usb0="80000281" w:usb1="28C76CF8"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E1"/>
    <w:rsid w:val="00991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0EE4A6453A41C493439DF336D9F5A3">
    <w:name w:val="AB0EE4A6453A41C493439DF336D9F5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Agreeing to act as trustee is a major responsibility. Attorneys, accountants, and other trusted advisors, are being asked with increasing frequency to serve as trustees for their clients’ trusts. Changes in technology, trust laws and client preferences are driving this trend. It is easier than ever before to access information, many states have enacted favorable trust laws, and people are becoming more comfortable appointing individuals as trustees.</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83CA12-5842-482C-AF8F-1352C3F1AC3D}">
  <ds:schemaRefs>
    <ds:schemaRef ds:uri="http://schemas.microsoft.com/sharepoint/v3/contenttype/forms"/>
  </ds:schemaRefs>
</ds:datastoreItem>
</file>

<file path=customXml/itemProps3.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4.xml><?xml version="1.0" encoding="utf-8"?>
<ds:datastoreItem xmlns:ds="http://schemas.openxmlformats.org/officeDocument/2006/customXml" ds:itemID="{4B0E5A9F-4150-4809-8961-C6D3F4FAC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3</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Just a [TIKR]: The Shortfalls of ETF Investing</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a [TIKR]: The Shortfalls of ETF Investing</dc:title>
  <dc:subject>Reducing Liability and Improving Client Relationships</dc:subject>
  <dc:creator>Adam Sabban</dc:creator>
  <cp:lastModifiedBy>Joan Ferguson</cp:lastModifiedBy>
  <cp:revision>50</cp:revision>
  <cp:lastPrinted>2015-06-04T15:05:00Z</cp:lastPrinted>
  <dcterms:created xsi:type="dcterms:W3CDTF">2017-04-23T20:06:00Z</dcterms:created>
  <dcterms:modified xsi:type="dcterms:W3CDTF">2017-09-28T13:26:00Z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TC017730589991</vt:lpwstr>
  </property>
</Properties>
</file>